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1" w:rsidRDefault="00C8727E" w:rsidP="00C8727E">
      <w:pPr>
        <w:pStyle w:val="Bezseznamu1"/>
        <w:ind w:left="709" w:hanging="709"/>
        <w:jc w:val="center"/>
        <w:rPr>
          <w:rFonts w:ascii="Times New Roman" w:hAnsi="Times New Roman"/>
          <w:sz w:val="36"/>
          <w:szCs w:val="24"/>
        </w:rPr>
      </w:pPr>
      <w:r w:rsidRPr="00C8727E">
        <w:rPr>
          <w:rFonts w:ascii="Times New Roman" w:hAnsi="Times New Roman"/>
          <w:sz w:val="36"/>
          <w:szCs w:val="24"/>
        </w:rPr>
        <w:t>Kupní smlouva</w:t>
      </w:r>
    </w:p>
    <w:p w:rsidR="00C8727E" w:rsidRPr="00C8727E" w:rsidRDefault="00C8727E" w:rsidP="00C8727E">
      <w:pPr>
        <w:pStyle w:val="Bezseznamu1"/>
        <w:ind w:left="709" w:hanging="709"/>
        <w:jc w:val="center"/>
        <w:rPr>
          <w:rFonts w:ascii="Times New Roman" w:hAnsi="Times New Roman"/>
          <w:sz w:val="36"/>
          <w:szCs w:val="24"/>
        </w:rPr>
      </w:pPr>
    </w:p>
    <w:p w:rsidR="00C8727E" w:rsidRDefault="00C8727E" w:rsidP="00C8727E">
      <w:pPr>
        <w:pStyle w:val="Bezseznamu1"/>
        <w:ind w:left="709" w:hanging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smlouvy prodávajícího:</w:t>
      </w:r>
    </w:p>
    <w:p w:rsidR="00C8727E" w:rsidRPr="00E26162" w:rsidRDefault="00C8727E" w:rsidP="00C8727E">
      <w:pPr>
        <w:pStyle w:val="Bezseznamu1"/>
        <w:ind w:left="709" w:hanging="709"/>
        <w:jc w:val="center"/>
      </w:pPr>
      <w:r>
        <w:rPr>
          <w:rFonts w:ascii="Times New Roman" w:hAnsi="Times New Roman"/>
          <w:sz w:val="24"/>
          <w:szCs w:val="24"/>
        </w:rPr>
        <w:t>Číslo smlouvy kupujícího:</w:t>
      </w:r>
    </w:p>
    <w:p w:rsidR="002E5F11" w:rsidRPr="00D0464B" w:rsidRDefault="002E5F11">
      <w:pPr>
        <w:pStyle w:val="Nadpis7"/>
        <w:ind w:left="709" w:hanging="709"/>
        <w:rPr>
          <w:b/>
          <w:color w:val="000000"/>
          <w:highlight w:val="yellow"/>
        </w:rPr>
      </w:pPr>
      <w:r w:rsidRPr="00D0464B">
        <w:rPr>
          <w:b/>
          <w:color w:val="000000"/>
          <w:highlight w:val="yellow"/>
        </w:rPr>
        <w:t>Obchodní firma: ________________________________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D0464B">
        <w:rPr>
          <w:rFonts w:ascii="Times New Roman" w:hAnsi="Times New Roman"/>
          <w:color w:val="000000"/>
          <w:sz w:val="24"/>
          <w:szCs w:val="24"/>
          <w:highlight w:val="yellow"/>
        </w:rPr>
        <w:t>Sídlo: __________________________________________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D0464B">
        <w:rPr>
          <w:rFonts w:ascii="Times New Roman" w:hAnsi="Times New Roman"/>
          <w:color w:val="000000"/>
          <w:sz w:val="24"/>
          <w:szCs w:val="24"/>
          <w:highlight w:val="yellow"/>
        </w:rPr>
        <w:t>IČ: ___________________________________________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D0464B">
        <w:rPr>
          <w:rFonts w:ascii="Times New Roman" w:hAnsi="Times New Roman"/>
          <w:color w:val="000000"/>
          <w:sz w:val="24"/>
          <w:szCs w:val="24"/>
          <w:highlight w:val="yellow"/>
        </w:rPr>
        <w:t>DIČ: ___________________________________________</w:t>
      </w:r>
    </w:p>
    <w:p w:rsidR="002E5F11" w:rsidRPr="00D0464B" w:rsidRDefault="00430F7B">
      <w:pPr>
        <w:pStyle w:val="Bezseznamu1"/>
        <w:ind w:left="709" w:hanging="709"/>
        <w:rPr>
          <w:rFonts w:ascii="Times New Roman" w:hAnsi="Times New Roman"/>
          <w:sz w:val="24"/>
          <w:szCs w:val="24"/>
          <w:highlight w:val="yellow"/>
        </w:rPr>
      </w:pPr>
      <w:r w:rsidRPr="00D0464B">
        <w:rPr>
          <w:rFonts w:ascii="Times New Roman" w:hAnsi="Times New Roman"/>
          <w:sz w:val="24"/>
          <w:szCs w:val="24"/>
          <w:highlight w:val="yellow"/>
        </w:rPr>
        <w:t xml:space="preserve">zapsaná v obchodním rejstříku pod spisovou značkou:_______ vedenou u___________ 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D0464B">
        <w:rPr>
          <w:rFonts w:ascii="Times New Roman" w:hAnsi="Times New Roman"/>
          <w:color w:val="000000"/>
          <w:sz w:val="24"/>
          <w:szCs w:val="24"/>
          <w:highlight w:val="yellow"/>
        </w:rPr>
        <w:t>za společnost: ___________________________________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D0464B">
        <w:rPr>
          <w:rFonts w:ascii="Times New Roman" w:hAnsi="Times New Roman"/>
          <w:color w:val="000000"/>
          <w:sz w:val="24"/>
          <w:szCs w:val="24"/>
          <w:highlight w:val="yellow"/>
        </w:rPr>
        <w:t>bankovní spojení: __________________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color w:val="000000"/>
          <w:sz w:val="24"/>
          <w:szCs w:val="24"/>
          <w:highlight w:val="yellow"/>
        </w:rPr>
      </w:pPr>
      <w:proofErr w:type="spellStart"/>
      <w:proofErr w:type="gramStart"/>
      <w:r w:rsidRPr="00D0464B">
        <w:rPr>
          <w:rFonts w:ascii="Times New Roman" w:hAnsi="Times New Roman"/>
          <w:color w:val="000000"/>
          <w:sz w:val="24"/>
          <w:szCs w:val="24"/>
          <w:highlight w:val="yellow"/>
        </w:rPr>
        <w:t>č.ú</w:t>
      </w:r>
      <w:proofErr w:type="spellEnd"/>
      <w:r w:rsidRPr="00D0464B">
        <w:rPr>
          <w:rFonts w:ascii="Times New Roman" w:hAnsi="Times New Roman"/>
          <w:color w:val="000000"/>
          <w:sz w:val="24"/>
          <w:szCs w:val="24"/>
          <w:highlight w:val="yellow"/>
        </w:rPr>
        <w:t>.:______________________________</w:t>
      </w:r>
      <w:proofErr w:type="gramEnd"/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D0464B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kontakty: 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D0464B">
        <w:rPr>
          <w:rFonts w:ascii="Times New Roman" w:hAnsi="Times New Roman"/>
          <w:color w:val="000000"/>
          <w:sz w:val="24"/>
          <w:szCs w:val="24"/>
          <w:highlight w:val="yellow"/>
        </w:rPr>
        <w:t>tel: _____________________________________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b/>
          <w:color w:val="000000"/>
          <w:sz w:val="24"/>
          <w:szCs w:val="24"/>
        </w:rPr>
      </w:pPr>
      <w:r w:rsidRPr="00D0464B">
        <w:rPr>
          <w:rFonts w:ascii="Times New Roman" w:hAnsi="Times New Roman"/>
          <w:color w:val="000000"/>
          <w:sz w:val="24"/>
          <w:szCs w:val="24"/>
          <w:highlight w:val="yellow"/>
        </w:rPr>
        <w:t>email:___________________________________.</w:t>
      </w:r>
      <w:r w:rsidRPr="00D046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sz w:val="24"/>
          <w:szCs w:val="24"/>
        </w:rPr>
      </w:pPr>
      <w:r w:rsidRPr="00D0464B">
        <w:rPr>
          <w:rFonts w:ascii="Times New Roman" w:hAnsi="Times New Roman"/>
          <w:sz w:val="24"/>
          <w:szCs w:val="24"/>
        </w:rPr>
        <w:t>dále jen „prodávající“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sz w:val="24"/>
          <w:szCs w:val="24"/>
        </w:rPr>
      </w:pPr>
    </w:p>
    <w:p w:rsidR="002E5F11" w:rsidRDefault="002E5F11">
      <w:pPr>
        <w:pStyle w:val="Bezseznamu1"/>
        <w:ind w:left="709" w:hanging="709"/>
        <w:rPr>
          <w:rFonts w:ascii="Times New Roman" w:hAnsi="Times New Roman"/>
          <w:sz w:val="24"/>
          <w:szCs w:val="24"/>
        </w:rPr>
      </w:pPr>
      <w:r w:rsidRPr="00D0464B">
        <w:rPr>
          <w:rFonts w:ascii="Times New Roman" w:hAnsi="Times New Roman"/>
          <w:sz w:val="24"/>
          <w:szCs w:val="24"/>
        </w:rPr>
        <w:t>a</w:t>
      </w:r>
    </w:p>
    <w:p w:rsidR="00C8727E" w:rsidRPr="00D0464B" w:rsidRDefault="00C8727E">
      <w:pPr>
        <w:pStyle w:val="Bezseznamu1"/>
        <w:ind w:left="709" w:hanging="709"/>
        <w:rPr>
          <w:rFonts w:ascii="Times New Roman" w:hAnsi="Times New Roman"/>
          <w:sz w:val="24"/>
          <w:szCs w:val="24"/>
        </w:rPr>
      </w:pPr>
    </w:p>
    <w:p w:rsidR="00C8727E" w:rsidRPr="00C8727E" w:rsidRDefault="00C8727E" w:rsidP="00C8727E">
      <w:pPr>
        <w:pStyle w:val="Bezseznamu1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727E">
        <w:rPr>
          <w:rFonts w:ascii="Times New Roman" w:hAnsi="Times New Roman"/>
          <w:b/>
          <w:bCs/>
          <w:sz w:val="24"/>
          <w:szCs w:val="24"/>
        </w:rPr>
        <w:t>Městská část Praha 20</w:t>
      </w:r>
    </w:p>
    <w:p w:rsidR="00C8727E" w:rsidRDefault="00C8727E" w:rsidP="00C8727E">
      <w:pPr>
        <w:pStyle w:val="Bezseznamu1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Sídlo: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8727E">
        <w:rPr>
          <w:rFonts w:ascii="Times New Roman" w:hAnsi="Times New Roman"/>
          <w:bCs/>
          <w:sz w:val="24"/>
          <w:szCs w:val="24"/>
        </w:rPr>
        <w:t xml:space="preserve">Jívanská </w:t>
      </w:r>
      <w:proofErr w:type="gramStart"/>
      <w:r w:rsidRPr="00C8727E">
        <w:rPr>
          <w:rFonts w:ascii="Times New Roman" w:hAnsi="Times New Roman"/>
          <w:bCs/>
          <w:sz w:val="24"/>
          <w:szCs w:val="24"/>
        </w:rPr>
        <w:t>647,  193 21</w:t>
      </w:r>
      <w:proofErr w:type="gramEnd"/>
      <w:r w:rsidRPr="00C8727E">
        <w:rPr>
          <w:rFonts w:ascii="Times New Roman" w:hAnsi="Times New Roman"/>
          <w:bCs/>
          <w:sz w:val="24"/>
          <w:szCs w:val="24"/>
        </w:rPr>
        <w:t xml:space="preserve">  Praha - Horní Počernice</w:t>
      </w:r>
    </w:p>
    <w:p w:rsidR="00C8727E" w:rsidRPr="00C8727E" w:rsidRDefault="00C8727E" w:rsidP="00C8727E">
      <w:pPr>
        <w:pStyle w:val="Bezseznamu1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C8727E">
        <w:rPr>
          <w:rFonts w:ascii="Times New Roman" w:hAnsi="Times New Roman"/>
          <w:bCs/>
          <w:sz w:val="24"/>
          <w:szCs w:val="24"/>
        </w:rPr>
        <w:t>IČ: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8727E">
        <w:rPr>
          <w:rFonts w:ascii="Times New Roman" w:hAnsi="Times New Roman"/>
          <w:bCs/>
          <w:sz w:val="24"/>
          <w:szCs w:val="24"/>
        </w:rPr>
        <w:t>00 240 192</w:t>
      </w:r>
    </w:p>
    <w:p w:rsidR="00C8727E" w:rsidRPr="00C8727E" w:rsidRDefault="00C8727E" w:rsidP="00C8727E">
      <w:pPr>
        <w:pStyle w:val="Bezseznamu1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DIČ: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CZ 00240192</w:t>
      </w:r>
    </w:p>
    <w:p w:rsidR="00C8727E" w:rsidRPr="00C8727E" w:rsidRDefault="00C8727E" w:rsidP="00C8727E">
      <w:pPr>
        <w:pStyle w:val="Bezseznamu1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C8727E">
        <w:rPr>
          <w:rFonts w:ascii="Times New Roman" w:hAnsi="Times New Roman"/>
          <w:bCs/>
          <w:sz w:val="24"/>
          <w:szCs w:val="24"/>
        </w:rPr>
        <w:t>bankovní spojení:</w:t>
      </w:r>
      <w:r w:rsidRPr="00C8727E">
        <w:rPr>
          <w:rFonts w:ascii="Times New Roman" w:hAnsi="Times New Roman"/>
          <w:bCs/>
          <w:sz w:val="24"/>
          <w:szCs w:val="24"/>
        </w:rPr>
        <w:tab/>
        <w:t>KB a.s., pobočka Horní Počernice</w:t>
      </w:r>
      <w:r w:rsidRPr="00C8727E">
        <w:rPr>
          <w:rFonts w:ascii="Times New Roman" w:hAnsi="Times New Roman"/>
          <w:bCs/>
          <w:sz w:val="24"/>
          <w:szCs w:val="24"/>
        </w:rPr>
        <w:tab/>
      </w:r>
      <w:r w:rsidRPr="00C8727E">
        <w:rPr>
          <w:rFonts w:ascii="Times New Roman" w:hAnsi="Times New Roman"/>
          <w:bCs/>
          <w:sz w:val="24"/>
          <w:szCs w:val="24"/>
        </w:rPr>
        <w:tab/>
      </w:r>
      <w:r w:rsidRPr="00C8727E">
        <w:rPr>
          <w:rFonts w:ascii="Times New Roman" w:hAnsi="Times New Roman"/>
          <w:bCs/>
          <w:sz w:val="24"/>
          <w:szCs w:val="24"/>
        </w:rPr>
        <w:tab/>
      </w:r>
      <w:r w:rsidRPr="00C8727E">
        <w:rPr>
          <w:rFonts w:ascii="Times New Roman" w:hAnsi="Times New Roman"/>
          <w:bCs/>
          <w:sz w:val="24"/>
          <w:szCs w:val="24"/>
        </w:rPr>
        <w:tab/>
      </w:r>
    </w:p>
    <w:p w:rsidR="00C8727E" w:rsidRPr="00C8727E" w:rsidRDefault="00C8727E" w:rsidP="00C8727E">
      <w:pPr>
        <w:pStyle w:val="Bezseznamu1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C8727E">
        <w:rPr>
          <w:rFonts w:ascii="Times New Roman" w:hAnsi="Times New Roman"/>
          <w:bCs/>
          <w:sz w:val="24"/>
          <w:szCs w:val="24"/>
        </w:rPr>
        <w:t>číslo účtu:</w:t>
      </w:r>
      <w:r w:rsidRPr="00C8727E">
        <w:rPr>
          <w:rFonts w:ascii="Times New Roman" w:hAnsi="Times New Roman"/>
          <w:bCs/>
          <w:sz w:val="24"/>
          <w:szCs w:val="24"/>
        </w:rPr>
        <w:tab/>
      </w:r>
      <w:r w:rsidRPr="00C8727E">
        <w:rPr>
          <w:rFonts w:ascii="Times New Roman" w:hAnsi="Times New Roman"/>
          <w:bCs/>
          <w:sz w:val="24"/>
          <w:szCs w:val="24"/>
        </w:rPr>
        <w:tab/>
        <w:t>43-6962650247/0100</w:t>
      </w:r>
    </w:p>
    <w:p w:rsidR="00C8727E" w:rsidRPr="00C8727E" w:rsidRDefault="00C8727E" w:rsidP="00C8727E">
      <w:pPr>
        <w:pStyle w:val="Bezseznamu1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C8727E">
        <w:rPr>
          <w:rFonts w:ascii="Times New Roman" w:hAnsi="Times New Roman"/>
          <w:bCs/>
          <w:sz w:val="24"/>
          <w:szCs w:val="24"/>
        </w:rPr>
        <w:t>zastoupená</w:t>
      </w:r>
      <w:r w:rsidR="002D6329">
        <w:rPr>
          <w:rFonts w:ascii="Times New Roman" w:hAnsi="Times New Roman"/>
          <w:bCs/>
          <w:sz w:val="24"/>
          <w:szCs w:val="24"/>
        </w:rPr>
        <w:t>:</w:t>
      </w:r>
      <w:r w:rsidRPr="00C8727E">
        <w:rPr>
          <w:rFonts w:ascii="Times New Roman" w:hAnsi="Times New Roman"/>
          <w:bCs/>
          <w:sz w:val="24"/>
          <w:szCs w:val="24"/>
        </w:rPr>
        <w:t xml:space="preserve">         </w:t>
      </w:r>
      <w:r w:rsidR="002D6329">
        <w:rPr>
          <w:rFonts w:ascii="Times New Roman" w:hAnsi="Times New Roman"/>
          <w:bCs/>
          <w:sz w:val="24"/>
          <w:szCs w:val="24"/>
        </w:rPr>
        <w:tab/>
      </w:r>
      <w:r w:rsidRPr="00C8727E">
        <w:rPr>
          <w:rFonts w:ascii="Times New Roman" w:hAnsi="Times New Roman"/>
          <w:bCs/>
          <w:sz w:val="24"/>
          <w:szCs w:val="24"/>
        </w:rPr>
        <w:t xml:space="preserve">Hanou </w:t>
      </w:r>
      <w:proofErr w:type="gramStart"/>
      <w:r w:rsidRPr="00C8727E">
        <w:rPr>
          <w:rFonts w:ascii="Times New Roman" w:hAnsi="Times New Roman"/>
          <w:bCs/>
          <w:sz w:val="24"/>
          <w:szCs w:val="24"/>
        </w:rPr>
        <w:t>Moravcovou,  starostkou</w:t>
      </w:r>
      <w:proofErr w:type="gramEnd"/>
      <w:r w:rsidRPr="00C8727E">
        <w:rPr>
          <w:rFonts w:ascii="Times New Roman" w:hAnsi="Times New Roman"/>
          <w:bCs/>
          <w:sz w:val="24"/>
          <w:szCs w:val="24"/>
        </w:rPr>
        <w:t xml:space="preserve"> MČ  Praha 20</w:t>
      </w:r>
    </w:p>
    <w:p w:rsidR="002E5F11" w:rsidRPr="00D0464B" w:rsidRDefault="002D6329" w:rsidP="002D6329">
      <w:pPr>
        <w:pStyle w:val="Bezseznamu1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Kontaktní osoba: </w:t>
      </w:r>
      <w:r>
        <w:rPr>
          <w:rFonts w:ascii="Times New Roman" w:hAnsi="Times New Roman"/>
          <w:bCs/>
          <w:sz w:val="24"/>
          <w:szCs w:val="24"/>
        </w:rPr>
        <w:tab/>
      </w:r>
      <w:r w:rsidRPr="00DB4831">
        <w:rPr>
          <w:rFonts w:ascii="Times New Roman" w:hAnsi="Times New Roman"/>
          <w:bCs/>
          <w:sz w:val="24"/>
          <w:szCs w:val="24"/>
        </w:rPr>
        <w:t>Jaroslav Píša, 271 071</w:t>
      </w:r>
      <w:r w:rsidR="006A7D4E" w:rsidRPr="00DB4831">
        <w:rPr>
          <w:rFonts w:ascii="Times New Roman" w:hAnsi="Times New Roman"/>
          <w:bCs/>
          <w:sz w:val="24"/>
          <w:szCs w:val="24"/>
        </w:rPr>
        <w:t> </w:t>
      </w:r>
      <w:r w:rsidRPr="00DB4831">
        <w:rPr>
          <w:rFonts w:ascii="Times New Roman" w:hAnsi="Times New Roman"/>
          <w:bCs/>
          <w:sz w:val="24"/>
          <w:szCs w:val="24"/>
        </w:rPr>
        <w:t>691</w:t>
      </w:r>
      <w:r w:rsidR="006A7D4E" w:rsidRPr="00DB4831">
        <w:rPr>
          <w:rFonts w:ascii="Times New Roman" w:hAnsi="Times New Roman"/>
          <w:bCs/>
          <w:sz w:val="24"/>
          <w:szCs w:val="24"/>
        </w:rPr>
        <w:t>, 602 202 954, Jaroslav_Pisa@pocernice.cz</w:t>
      </w:r>
    </w:p>
    <w:p w:rsidR="002E5F11" w:rsidRPr="00D0464B" w:rsidRDefault="002E5F11">
      <w:pPr>
        <w:pStyle w:val="Bezseznamu1"/>
        <w:tabs>
          <w:tab w:val="left" w:pos="0"/>
        </w:tabs>
        <w:ind w:left="709" w:hanging="709"/>
        <w:rPr>
          <w:rFonts w:ascii="Times New Roman" w:hAnsi="Times New Roman"/>
          <w:sz w:val="24"/>
          <w:szCs w:val="24"/>
        </w:rPr>
      </w:pP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sz w:val="24"/>
          <w:szCs w:val="24"/>
        </w:rPr>
      </w:pP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sz w:val="24"/>
          <w:szCs w:val="24"/>
        </w:rPr>
      </w:pPr>
      <w:r w:rsidRPr="00D0464B">
        <w:rPr>
          <w:rFonts w:ascii="Times New Roman" w:hAnsi="Times New Roman"/>
          <w:sz w:val="24"/>
          <w:szCs w:val="24"/>
        </w:rPr>
        <w:t>dále jen „kupující“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sz w:val="24"/>
          <w:szCs w:val="24"/>
        </w:rPr>
      </w:pPr>
    </w:p>
    <w:p w:rsidR="002E5F11" w:rsidRPr="00D0464B" w:rsidRDefault="00C8727E">
      <w:pPr>
        <w:pStyle w:val="Bezseznamu1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uzavřeli </w:t>
      </w:r>
      <w:r w:rsidR="002E5F11" w:rsidRPr="00D0464B">
        <w:rPr>
          <w:rFonts w:ascii="Times New Roman" w:hAnsi="Times New Roman"/>
          <w:sz w:val="24"/>
          <w:szCs w:val="24"/>
        </w:rPr>
        <w:t xml:space="preserve">tuto </w:t>
      </w:r>
    </w:p>
    <w:p w:rsidR="002E5F11" w:rsidRPr="00D0464B" w:rsidRDefault="002E5F11">
      <w:pPr>
        <w:pStyle w:val="Bezseznamu1"/>
        <w:ind w:left="709" w:hanging="709"/>
        <w:rPr>
          <w:rFonts w:ascii="Times New Roman" w:hAnsi="Times New Roman"/>
          <w:sz w:val="24"/>
          <w:szCs w:val="24"/>
        </w:rPr>
      </w:pPr>
    </w:p>
    <w:p w:rsidR="002E5F11" w:rsidRPr="00D0464B" w:rsidRDefault="002E5F11" w:rsidP="00E841C5">
      <w:pPr>
        <w:pStyle w:val="Bezseznamu1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64B">
        <w:rPr>
          <w:rFonts w:ascii="Times New Roman" w:hAnsi="Times New Roman"/>
          <w:b/>
          <w:bCs/>
          <w:sz w:val="24"/>
          <w:szCs w:val="24"/>
        </w:rPr>
        <w:t>Kupní smlouvu</w:t>
      </w:r>
    </w:p>
    <w:p w:rsidR="002E5F11" w:rsidRPr="00D0464B" w:rsidRDefault="002E5F11">
      <w:pPr>
        <w:pStyle w:val="Bezseznamu1"/>
        <w:widowControl w:val="0"/>
        <w:autoSpaceDE w:val="0"/>
        <w:autoSpaceDN w:val="0"/>
        <w:adjustRightInd w:val="0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5F11" w:rsidRPr="00D0464B" w:rsidRDefault="002E5F11">
      <w:pPr>
        <w:pStyle w:val="Bezseznamu1"/>
        <w:widowControl w:val="0"/>
        <w:autoSpaceDE w:val="0"/>
        <w:autoSpaceDN w:val="0"/>
        <w:adjustRightInd w:val="0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64B">
        <w:rPr>
          <w:rFonts w:ascii="Times New Roman" w:hAnsi="Times New Roman"/>
          <w:b/>
          <w:bCs/>
          <w:sz w:val="24"/>
          <w:szCs w:val="24"/>
        </w:rPr>
        <w:t>dle ustanovení § 2079 a násl. zák. č. 89/2012 Sb., občanského zákoníku</w:t>
      </w:r>
    </w:p>
    <w:p w:rsidR="002E5F11" w:rsidRPr="00D0464B" w:rsidRDefault="002E5F11">
      <w:pPr>
        <w:pStyle w:val="Bezseznamu1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5F11" w:rsidRPr="00D0464B" w:rsidRDefault="002E5F11">
      <w:pPr>
        <w:pStyle w:val="Bezseznamu1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64B">
        <w:rPr>
          <w:rFonts w:ascii="Times New Roman" w:hAnsi="Times New Roman"/>
          <w:b/>
          <w:bCs/>
          <w:sz w:val="24"/>
          <w:szCs w:val="24"/>
        </w:rPr>
        <w:t>(dále také jako „smlouva“)</w:t>
      </w:r>
    </w:p>
    <w:p w:rsidR="002E5F11" w:rsidRPr="00E26162" w:rsidRDefault="002E5F11" w:rsidP="006D5A31">
      <w:pPr>
        <w:pStyle w:val="rove1"/>
        <w:tabs>
          <w:tab w:val="clear" w:pos="360"/>
        </w:tabs>
        <w:ind w:left="709" w:hanging="709"/>
      </w:pPr>
      <w:r w:rsidRPr="00D0464B">
        <w:br w:type="page"/>
      </w:r>
      <w:r>
        <w:rPr>
          <w:lang w:eastAsia="en-US"/>
        </w:rPr>
        <w:lastRenderedPageBreak/>
        <w:t>P</w:t>
      </w:r>
      <w:r w:rsidRPr="00E26162">
        <w:rPr>
          <w:lang w:eastAsia="en-US"/>
        </w:rPr>
        <w:t>ředmět smlouvy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E26162">
        <w:t>Předm</w:t>
      </w:r>
      <w:r>
        <w:t xml:space="preserve">ětem této smlouvy je prodej zboží specifikovaného v čl. 2 </w:t>
      </w:r>
      <w:proofErr w:type="gramStart"/>
      <w:r>
        <w:t>této</w:t>
      </w:r>
      <w:proofErr w:type="gramEnd"/>
      <w:r>
        <w:t xml:space="preserve"> smlouvy</w:t>
      </w:r>
      <w:r w:rsidR="00E96953">
        <w:t>,</w:t>
      </w:r>
      <w:r>
        <w:t xml:space="preserve"> za podmínek stanovených touto smlouvou.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A55FB9">
        <w:t xml:space="preserve">Prodávající se zavazuje dodat kupujícímu zboží </w:t>
      </w:r>
      <w:r>
        <w:t xml:space="preserve">specifikované v čl. 2 této smlouvy a </w:t>
      </w:r>
      <w:r w:rsidRPr="00A55FB9">
        <w:t>převést na něj vlastnické právo ke zboží</w:t>
      </w:r>
      <w:r>
        <w:t xml:space="preserve">. </w:t>
      </w:r>
    </w:p>
    <w:p w:rsidR="002E5F11" w:rsidRPr="00DB4831" w:rsidRDefault="002E5F11">
      <w:pPr>
        <w:pStyle w:val="rove2"/>
        <w:tabs>
          <w:tab w:val="clear" w:pos="792"/>
        </w:tabs>
        <w:ind w:left="709" w:hanging="709"/>
      </w:pPr>
      <w:r>
        <w:t>K</w:t>
      </w:r>
      <w:r w:rsidRPr="00A55FB9">
        <w:t xml:space="preserve">upující se zavazuje zboží dodávané prodávajícím </w:t>
      </w:r>
      <w:r>
        <w:t>převzít</w:t>
      </w:r>
      <w:r w:rsidRPr="00A55FB9">
        <w:t xml:space="preserve"> a zaplatit </w:t>
      </w:r>
      <w:r>
        <w:t xml:space="preserve">za něj cenu stanovenou na základě nabídky prodávajícího učiněné </w:t>
      </w:r>
      <w:r w:rsidR="006D5A31">
        <w:t xml:space="preserve">veřejné zakázky malého rozsahu na </w:t>
      </w:r>
      <w:r w:rsidR="00383627">
        <w:t>dodávky</w:t>
      </w:r>
      <w:r w:rsidR="00F92953">
        <w:t xml:space="preserve"> </w:t>
      </w:r>
      <w:r w:rsidRPr="00DB4831">
        <w:t>„</w:t>
      </w:r>
      <w:r w:rsidR="00033D96" w:rsidRPr="00DB4831">
        <w:rPr>
          <w:b/>
        </w:rPr>
        <w:t>N</w:t>
      </w:r>
      <w:r w:rsidR="00E13020" w:rsidRPr="00DB4831">
        <w:rPr>
          <w:b/>
        </w:rPr>
        <w:t>osič kontejneru</w:t>
      </w:r>
      <w:r w:rsidR="00DB4831" w:rsidRPr="00DB4831">
        <w:rPr>
          <w:b/>
        </w:rPr>
        <w:t xml:space="preserve"> včetně 3ks kontejnerů</w:t>
      </w:r>
      <w:r w:rsidR="00E841C5" w:rsidRPr="00DB4831">
        <w:rPr>
          <w:b/>
        </w:rPr>
        <w:t>“</w:t>
      </w:r>
      <w:r w:rsidR="006D5A31" w:rsidRPr="00DB4831">
        <w:rPr>
          <w:b/>
        </w:rPr>
        <w:t>.</w:t>
      </w:r>
    </w:p>
    <w:p w:rsidR="002E5F11" w:rsidRDefault="002E5F11">
      <w:pPr>
        <w:pStyle w:val="rove2"/>
        <w:tabs>
          <w:tab w:val="clear" w:pos="792"/>
          <w:tab w:val="num" w:pos="709"/>
        </w:tabs>
        <w:ind w:left="709" w:hanging="709"/>
        <w:rPr>
          <w:lang w:eastAsia="en-US"/>
        </w:rPr>
      </w:pPr>
      <w:r w:rsidRPr="000B338D">
        <w:rPr>
          <w:lang w:eastAsia="en-US"/>
        </w:rPr>
        <w:t xml:space="preserve">Prodávající odevzdá kupujícímu předmět koupě v ujednaném množství, jakosti a provedení. </w:t>
      </w:r>
    </w:p>
    <w:p w:rsidR="002E5F11" w:rsidRDefault="002E5F11">
      <w:pPr>
        <w:pStyle w:val="rove2"/>
        <w:tabs>
          <w:tab w:val="clear" w:pos="792"/>
          <w:tab w:val="num" w:pos="709"/>
        </w:tabs>
        <w:ind w:left="709" w:hanging="709"/>
        <w:rPr>
          <w:lang w:eastAsia="en-US"/>
        </w:rPr>
      </w:pPr>
      <w:r w:rsidRPr="004F404E">
        <w:rPr>
          <w:lang w:eastAsia="en-US"/>
        </w:rPr>
        <w:t>Prodávající kupujícímu odevzdá věc, jakož i doklady, které se k věci vztahují, a umožní kupujícímu nabýt vlastnického práva k věci v souladu se smlouvou</w:t>
      </w:r>
      <w:r>
        <w:rPr>
          <w:lang w:eastAsia="en-US"/>
        </w:rPr>
        <w:t xml:space="preserve"> a příslušnými právními předpisy.</w:t>
      </w:r>
    </w:p>
    <w:p w:rsidR="002E5F11" w:rsidRDefault="002E5F11">
      <w:pPr>
        <w:pStyle w:val="rove1"/>
        <w:tabs>
          <w:tab w:val="clear" w:pos="360"/>
        </w:tabs>
        <w:ind w:left="709" w:hanging="709"/>
        <w:rPr>
          <w:lang w:eastAsia="en-US"/>
        </w:rPr>
      </w:pPr>
      <w:r>
        <w:rPr>
          <w:lang w:eastAsia="en-US"/>
        </w:rPr>
        <w:t>Specifikace předmětu prodeje</w:t>
      </w:r>
    </w:p>
    <w:p w:rsidR="007B2804" w:rsidRDefault="002E5F11" w:rsidP="006D5A31">
      <w:pPr>
        <w:pStyle w:val="rove2"/>
        <w:tabs>
          <w:tab w:val="clear" w:pos="792"/>
        </w:tabs>
        <w:spacing w:after="0"/>
        <w:ind w:left="709" w:hanging="709"/>
        <w:rPr>
          <w:b/>
        </w:rPr>
      </w:pPr>
      <w:r w:rsidRPr="00F954C1">
        <w:t>Předmětem prodeje dle této smlouvy j</w:t>
      </w:r>
      <w:r w:rsidR="006D5A31">
        <w:t xml:space="preserve">e </w:t>
      </w:r>
      <w:r w:rsidR="00077CEF">
        <w:t>nosič kontejnerů a tři kontejnery.</w:t>
      </w:r>
    </w:p>
    <w:p w:rsidR="002E5F11" w:rsidRPr="00D0464B" w:rsidRDefault="006D5A31" w:rsidP="007B2804">
      <w:pPr>
        <w:pStyle w:val="Bezseznamu1"/>
        <w:ind w:left="708"/>
        <w:rPr>
          <w:rFonts w:ascii="Times New Roman" w:hAnsi="Times New Roman"/>
          <w:sz w:val="24"/>
          <w:szCs w:val="24"/>
        </w:rPr>
      </w:pPr>
      <w:r w:rsidRPr="00077CEF">
        <w:rPr>
          <w:rFonts w:ascii="Times New Roman" w:hAnsi="Times New Roman"/>
          <w:b/>
          <w:sz w:val="24"/>
          <w:szCs w:val="24"/>
          <w:highlight w:val="yellow"/>
        </w:rPr>
        <w:t>N</w:t>
      </w:r>
      <w:r w:rsidR="00077CEF" w:rsidRPr="00077CEF">
        <w:rPr>
          <w:rFonts w:ascii="Times New Roman" w:hAnsi="Times New Roman"/>
          <w:b/>
          <w:sz w:val="24"/>
          <w:szCs w:val="24"/>
          <w:highlight w:val="yellow"/>
        </w:rPr>
        <w:t>osič kontejnerů</w:t>
      </w:r>
      <w:r w:rsidR="00077CEF">
        <w:rPr>
          <w:rFonts w:ascii="Times New Roman" w:hAnsi="Times New Roman"/>
          <w:b/>
          <w:sz w:val="24"/>
          <w:szCs w:val="24"/>
        </w:rPr>
        <w:t xml:space="preserve"> </w:t>
      </w:r>
    </w:p>
    <w:p w:rsidR="002E5F11" w:rsidRPr="00D0464B" w:rsidRDefault="002E5F11" w:rsidP="007B2804">
      <w:pPr>
        <w:pStyle w:val="Bezseznamu1"/>
        <w:ind w:left="1416"/>
        <w:rPr>
          <w:rFonts w:ascii="Times New Roman" w:hAnsi="Times New Roman"/>
          <w:sz w:val="24"/>
          <w:szCs w:val="24"/>
          <w:highlight w:val="yellow"/>
        </w:rPr>
      </w:pPr>
      <w:r w:rsidRPr="00D0464B">
        <w:rPr>
          <w:rFonts w:ascii="Times New Roman" w:hAnsi="Times New Roman"/>
          <w:sz w:val="24"/>
          <w:szCs w:val="24"/>
        </w:rPr>
        <w:t xml:space="preserve">Označení: </w:t>
      </w:r>
      <w:r w:rsidRPr="00D0464B">
        <w:rPr>
          <w:rFonts w:ascii="Times New Roman" w:hAnsi="Times New Roman"/>
          <w:sz w:val="24"/>
          <w:szCs w:val="24"/>
          <w:highlight w:val="yellow"/>
        </w:rPr>
        <w:t>doplnit</w:t>
      </w:r>
    </w:p>
    <w:p w:rsidR="002E5F11" w:rsidRPr="00D0464B" w:rsidRDefault="002E5F11" w:rsidP="007B2804">
      <w:pPr>
        <w:pStyle w:val="Bezseznamu1"/>
        <w:ind w:left="1416"/>
        <w:rPr>
          <w:rFonts w:ascii="Times New Roman" w:hAnsi="Times New Roman"/>
          <w:sz w:val="24"/>
          <w:szCs w:val="24"/>
          <w:highlight w:val="yellow"/>
        </w:rPr>
      </w:pPr>
      <w:r w:rsidRPr="00D0464B">
        <w:rPr>
          <w:rFonts w:ascii="Times New Roman" w:hAnsi="Times New Roman"/>
          <w:sz w:val="24"/>
          <w:szCs w:val="24"/>
        </w:rPr>
        <w:t xml:space="preserve">Typ: </w:t>
      </w:r>
      <w:r w:rsidRPr="00D0464B">
        <w:rPr>
          <w:rFonts w:ascii="Times New Roman" w:hAnsi="Times New Roman"/>
          <w:sz w:val="24"/>
          <w:szCs w:val="24"/>
          <w:highlight w:val="yellow"/>
        </w:rPr>
        <w:t>doplnit</w:t>
      </w:r>
    </w:p>
    <w:p w:rsidR="00077CEF" w:rsidRDefault="002E5F11" w:rsidP="007B2804">
      <w:pPr>
        <w:pStyle w:val="Bezseznamu1"/>
        <w:ind w:left="1416"/>
        <w:rPr>
          <w:rFonts w:ascii="Times New Roman" w:hAnsi="Times New Roman"/>
          <w:sz w:val="24"/>
          <w:szCs w:val="24"/>
        </w:rPr>
      </w:pPr>
      <w:r w:rsidRPr="00D0464B">
        <w:rPr>
          <w:rFonts w:ascii="Times New Roman" w:hAnsi="Times New Roman"/>
          <w:sz w:val="24"/>
          <w:szCs w:val="24"/>
        </w:rPr>
        <w:t>Rok výroby</w:t>
      </w:r>
      <w:r w:rsidR="00350506" w:rsidRPr="00D0464B">
        <w:rPr>
          <w:rFonts w:ascii="Times New Roman" w:hAnsi="Times New Roman"/>
          <w:sz w:val="24"/>
          <w:szCs w:val="24"/>
        </w:rPr>
        <w:t>: 2014</w:t>
      </w:r>
    </w:p>
    <w:p w:rsidR="00077CEF" w:rsidRDefault="00077CEF" w:rsidP="007B2804">
      <w:pPr>
        <w:pStyle w:val="Bezseznamu1"/>
        <w:ind w:left="1416"/>
        <w:rPr>
          <w:rFonts w:ascii="Times New Roman" w:hAnsi="Times New Roman"/>
          <w:sz w:val="24"/>
          <w:szCs w:val="24"/>
        </w:rPr>
      </w:pPr>
    </w:p>
    <w:p w:rsidR="00077CEF" w:rsidRPr="00D0464B" w:rsidRDefault="00077CEF" w:rsidP="00077CEF">
      <w:pPr>
        <w:pStyle w:val="Bezseznamu1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Kontejner …</w:t>
      </w:r>
    </w:p>
    <w:p w:rsidR="00077CEF" w:rsidRPr="00D0464B" w:rsidRDefault="00077CEF" w:rsidP="00077CEF">
      <w:pPr>
        <w:pStyle w:val="Bezseznamu1"/>
        <w:ind w:left="1416"/>
        <w:rPr>
          <w:rFonts w:ascii="Times New Roman" w:hAnsi="Times New Roman"/>
          <w:sz w:val="24"/>
          <w:szCs w:val="24"/>
          <w:highlight w:val="yellow"/>
        </w:rPr>
      </w:pPr>
      <w:r w:rsidRPr="00D0464B">
        <w:rPr>
          <w:rFonts w:ascii="Times New Roman" w:hAnsi="Times New Roman"/>
          <w:sz w:val="24"/>
          <w:szCs w:val="24"/>
        </w:rPr>
        <w:t xml:space="preserve">Označení: </w:t>
      </w:r>
      <w:r w:rsidRPr="00D0464B">
        <w:rPr>
          <w:rFonts w:ascii="Times New Roman" w:hAnsi="Times New Roman"/>
          <w:sz w:val="24"/>
          <w:szCs w:val="24"/>
          <w:highlight w:val="yellow"/>
        </w:rPr>
        <w:t>doplnit</w:t>
      </w:r>
    </w:p>
    <w:p w:rsidR="00077CEF" w:rsidRPr="00D0464B" w:rsidRDefault="00077CEF" w:rsidP="00077CEF">
      <w:pPr>
        <w:pStyle w:val="Bezseznamu1"/>
        <w:ind w:left="1416"/>
        <w:rPr>
          <w:rFonts w:ascii="Times New Roman" w:hAnsi="Times New Roman"/>
          <w:sz w:val="24"/>
          <w:szCs w:val="24"/>
          <w:highlight w:val="yellow"/>
        </w:rPr>
      </w:pPr>
      <w:r w:rsidRPr="00D0464B">
        <w:rPr>
          <w:rFonts w:ascii="Times New Roman" w:hAnsi="Times New Roman"/>
          <w:sz w:val="24"/>
          <w:szCs w:val="24"/>
        </w:rPr>
        <w:t xml:space="preserve">Typ: </w:t>
      </w:r>
      <w:r w:rsidRPr="00D0464B">
        <w:rPr>
          <w:rFonts w:ascii="Times New Roman" w:hAnsi="Times New Roman"/>
          <w:sz w:val="24"/>
          <w:szCs w:val="24"/>
          <w:highlight w:val="yellow"/>
        </w:rPr>
        <w:t>doplnit</w:t>
      </w:r>
    </w:p>
    <w:p w:rsidR="00077CEF" w:rsidRPr="00D0464B" w:rsidRDefault="00077CEF" w:rsidP="00077CEF">
      <w:pPr>
        <w:pStyle w:val="Bezseznamu1"/>
        <w:ind w:left="1416"/>
        <w:rPr>
          <w:rFonts w:ascii="Times New Roman" w:hAnsi="Times New Roman"/>
          <w:sz w:val="24"/>
          <w:szCs w:val="24"/>
        </w:rPr>
      </w:pPr>
      <w:r w:rsidRPr="00D0464B">
        <w:rPr>
          <w:rFonts w:ascii="Times New Roman" w:hAnsi="Times New Roman"/>
          <w:sz w:val="24"/>
          <w:szCs w:val="24"/>
        </w:rPr>
        <w:t>Rok výroby: 2014</w:t>
      </w:r>
    </w:p>
    <w:p w:rsidR="00077CEF" w:rsidRPr="00D0464B" w:rsidRDefault="00077CEF" w:rsidP="007B2804">
      <w:pPr>
        <w:pStyle w:val="Bezseznamu1"/>
        <w:ind w:left="1416"/>
        <w:rPr>
          <w:rFonts w:ascii="Times New Roman" w:hAnsi="Times New Roman"/>
          <w:sz w:val="24"/>
          <w:szCs w:val="24"/>
        </w:rPr>
      </w:pPr>
    </w:p>
    <w:p w:rsidR="00F92953" w:rsidRDefault="002E5F11" w:rsidP="007B2804">
      <w:pPr>
        <w:pStyle w:val="rove2"/>
        <w:numPr>
          <w:ilvl w:val="0"/>
          <w:numId w:val="0"/>
        </w:numPr>
        <w:spacing w:after="0"/>
        <w:ind w:left="709" w:hanging="709"/>
      </w:pPr>
      <w:r w:rsidRPr="00D0464B">
        <w:tab/>
      </w:r>
    </w:p>
    <w:p w:rsidR="006D5A31" w:rsidRDefault="002E5F11" w:rsidP="006D5A31">
      <w:pPr>
        <w:pStyle w:val="rove2"/>
        <w:tabs>
          <w:tab w:val="clear" w:pos="792"/>
        </w:tabs>
        <w:ind w:left="709" w:hanging="709"/>
      </w:pPr>
      <w:r>
        <w:t>Technické parametry předmětu prodeje vyžadované kupujícím</w:t>
      </w:r>
      <w:r w:rsidR="00E64B9A">
        <w:t xml:space="preserve"> jsou přílohou této kupní smlouvy.</w:t>
      </w:r>
    </w:p>
    <w:p w:rsidR="002E5F11" w:rsidRPr="00D0464B" w:rsidRDefault="002E5F11">
      <w:pPr>
        <w:pStyle w:val="Bezseznamu1"/>
        <w:ind w:left="708"/>
        <w:jc w:val="both"/>
        <w:rPr>
          <w:rFonts w:ascii="Times New Roman" w:hAnsi="Times New Roman"/>
          <w:sz w:val="24"/>
          <w:szCs w:val="24"/>
        </w:rPr>
      </w:pPr>
      <w:r w:rsidRPr="00D0464B">
        <w:rPr>
          <w:rFonts w:ascii="Times New Roman" w:hAnsi="Times New Roman"/>
          <w:sz w:val="24"/>
          <w:szCs w:val="24"/>
        </w:rPr>
        <w:t>Součástí dodávky bude</w:t>
      </w:r>
      <w:r w:rsidR="00F92953" w:rsidRPr="00D0464B">
        <w:rPr>
          <w:rFonts w:ascii="Times New Roman" w:hAnsi="Times New Roman"/>
          <w:sz w:val="24"/>
          <w:szCs w:val="24"/>
        </w:rPr>
        <w:t xml:space="preserve"> technický průkaz</w:t>
      </w:r>
      <w:r w:rsidR="001A6ABF" w:rsidRPr="00D0464B">
        <w:rPr>
          <w:rFonts w:ascii="Times New Roman" w:hAnsi="Times New Roman"/>
          <w:sz w:val="24"/>
          <w:szCs w:val="24"/>
        </w:rPr>
        <w:t xml:space="preserve"> se všemi náležitostmi v něm uvedenými</w:t>
      </w:r>
      <w:r w:rsidR="00F92953" w:rsidRPr="00D0464B">
        <w:rPr>
          <w:rFonts w:ascii="Times New Roman" w:hAnsi="Times New Roman"/>
          <w:sz w:val="24"/>
          <w:szCs w:val="24"/>
        </w:rPr>
        <w:t>, návod k</w:t>
      </w:r>
      <w:r w:rsidR="006D5A31">
        <w:rPr>
          <w:rFonts w:ascii="Times New Roman" w:hAnsi="Times New Roman"/>
          <w:sz w:val="24"/>
          <w:szCs w:val="24"/>
        </w:rPr>
        <w:t> </w:t>
      </w:r>
      <w:r w:rsidR="00F92953" w:rsidRPr="00D0464B">
        <w:rPr>
          <w:rFonts w:ascii="Times New Roman" w:hAnsi="Times New Roman"/>
          <w:sz w:val="24"/>
          <w:szCs w:val="24"/>
        </w:rPr>
        <w:t xml:space="preserve">obsluze v českém jazyce, prohlášení o shodě, schválení k provozu na pozemních komunikacích v ČR, </w:t>
      </w:r>
      <w:r w:rsidRPr="00D0464B">
        <w:rPr>
          <w:rFonts w:ascii="Times New Roman" w:hAnsi="Times New Roman"/>
          <w:sz w:val="24"/>
          <w:szCs w:val="24"/>
        </w:rPr>
        <w:t>kvalifikované zaškolení obsluhy v místě plnění.</w:t>
      </w:r>
    </w:p>
    <w:p w:rsidR="002E5F11" w:rsidRPr="00D0464B" w:rsidRDefault="002E5F11">
      <w:pPr>
        <w:pStyle w:val="Bezseznamu1"/>
        <w:ind w:left="708"/>
        <w:rPr>
          <w:rFonts w:ascii="Times New Roman" w:hAnsi="Times New Roman"/>
          <w:sz w:val="24"/>
          <w:szCs w:val="24"/>
        </w:rPr>
      </w:pPr>
    </w:p>
    <w:p w:rsidR="002E5F11" w:rsidRPr="00F954C1" w:rsidRDefault="002E5F11">
      <w:pPr>
        <w:pStyle w:val="rove2"/>
        <w:tabs>
          <w:tab w:val="clear" w:pos="792"/>
        </w:tabs>
        <w:ind w:left="709" w:hanging="709"/>
        <w:rPr>
          <w:lang w:eastAsia="en-US"/>
        </w:rPr>
      </w:pPr>
      <w:r w:rsidRPr="00F954C1">
        <w:rPr>
          <w:lang w:eastAsia="en-US"/>
        </w:rPr>
        <w:t xml:space="preserve">Způsob dodání předmětu prodeje: </w:t>
      </w:r>
      <w:r>
        <w:rPr>
          <w:lang w:eastAsia="en-US"/>
        </w:rPr>
        <w:t>doprava do míst</w:t>
      </w:r>
      <w:r w:rsidR="00F81C7B">
        <w:rPr>
          <w:lang w:eastAsia="en-US"/>
        </w:rPr>
        <w:t>a</w:t>
      </w:r>
      <w:r>
        <w:rPr>
          <w:lang w:eastAsia="en-US"/>
        </w:rPr>
        <w:t xml:space="preserve"> plnění.</w:t>
      </w:r>
    </w:p>
    <w:p w:rsidR="002E5F11" w:rsidRPr="00F954C1" w:rsidRDefault="002E5F11">
      <w:pPr>
        <w:pStyle w:val="rove2"/>
        <w:tabs>
          <w:tab w:val="clear" w:pos="792"/>
        </w:tabs>
        <w:ind w:left="709" w:hanging="709"/>
        <w:rPr>
          <w:lang w:eastAsia="en-US"/>
        </w:rPr>
      </w:pPr>
      <w:r w:rsidRPr="00F954C1">
        <w:rPr>
          <w:color w:val="000000"/>
        </w:rPr>
        <w:t xml:space="preserve">Prodávající je povinen dodat kupujícímu zboží podle této smlouvy, při dodržení kvalitativních podmínek, které jsou </w:t>
      </w:r>
      <w:r w:rsidRPr="00F954C1">
        <w:t>vymezeny státními normami, právními a dalšími předpisy vztahujícími se ke zboží</w:t>
      </w:r>
      <w:r>
        <w:t>.</w:t>
      </w:r>
    </w:p>
    <w:p w:rsidR="002E5F11" w:rsidRDefault="002E5F11">
      <w:pPr>
        <w:pStyle w:val="rove2"/>
        <w:tabs>
          <w:tab w:val="clear" w:pos="792"/>
        </w:tabs>
        <w:ind w:left="709" w:hanging="709"/>
        <w:rPr>
          <w:lang w:eastAsia="en-US"/>
        </w:rPr>
      </w:pPr>
      <w:r w:rsidRPr="00E26162">
        <w:t>Kupující i prodávající souhlasně prohlašují, že je zboží na základě shora uvedené specifikace dostatečně určitě a srozumitelně určeno, zejména co do množství, druhu a</w:t>
      </w:r>
      <w:r w:rsidR="006D5A31">
        <w:t> </w:t>
      </w:r>
      <w:r w:rsidRPr="00E26162">
        <w:t>kvality.</w:t>
      </w:r>
    </w:p>
    <w:p w:rsidR="002E5F11" w:rsidRDefault="002E5F11">
      <w:pPr>
        <w:pStyle w:val="rove1"/>
        <w:ind w:left="709" w:hanging="709"/>
        <w:rPr>
          <w:color w:val="000000"/>
        </w:rPr>
      </w:pPr>
      <w:r>
        <w:rPr>
          <w:color w:val="000000"/>
        </w:rPr>
        <w:lastRenderedPageBreak/>
        <w:t>Místo plnění</w:t>
      </w:r>
    </w:p>
    <w:p w:rsidR="00F92953" w:rsidRPr="00F92953" w:rsidRDefault="002E5F11">
      <w:pPr>
        <w:pStyle w:val="rove2"/>
        <w:tabs>
          <w:tab w:val="clear" w:pos="792"/>
        </w:tabs>
        <w:ind w:left="709" w:hanging="709"/>
      </w:pPr>
      <w:r w:rsidRPr="00F92953">
        <w:t>Prodávající se zavazuje dodat předmět prodeje na vlastní náklady na adresu:</w:t>
      </w:r>
    </w:p>
    <w:p w:rsidR="00F92953" w:rsidRDefault="006D5A31" w:rsidP="006D5A31">
      <w:pPr>
        <w:pStyle w:val="rove2"/>
        <w:numPr>
          <w:ilvl w:val="0"/>
          <w:numId w:val="0"/>
        </w:numPr>
        <w:ind w:left="709"/>
      </w:pPr>
      <w:r>
        <w:rPr>
          <w:b/>
        </w:rPr>
        <w:t xml:space="preserve">Lipí </w:t>
      </w:r>
      <w:proofErr w:type="gramStart"/>
      <w:r>
        <w:rPr>
          <w:b/>
        </w:rPr>
        <w:t>2642,  Praha</w:t>
      </w:r>
      <w:proofErr w:type="gramEnd"/>
      <w:r>
        <w:rPr>
          <w:b/>
        </w:rPr>
        <w:t xml:space="preserve"> 9 – Horní Počernice</w:t>
      </w:r>
    </w:p>
    <w:p w:rsidR="002E5F11" w:rsidRDefault="002E5F11">
      <w:pPr>
        <w:pStyle w:val="rove1"/>
        <w:ind w:left="709" w:hanging="709"/>
      </w:pPr>
      <w:r>
        <w:t>Termín plnění</w:t>
      </w:r>
    </w:p>
    <w:p w:rsidR="002E5F11" w:rsidRPr="00B5686A" w:rsidRDefault="002E5F11">
      <w:pPr>
        <w:pStyle w:val="rove2"/>
        <w:tabs>
          <w:tab w:val="clear" w:pos="792"/>
        </w:tabs>
        <w:ind w:left="709" w:hanging="709"/>
      </w:pPr>
      <w:r w:rsidRPr="00E26162">
        <w:t>P</w:t>
      </w:r>
      <w:r>
        <w:t xml:space="preserve">rodávající se zavazuje dodat předmět prodeje dle této smlouvy </w:t>
      </w:r>
      <w:r w:rsidRPr="00C47A85">
        <w:t xml:space="preserve">nejpozději </w:t>
      </w:r>
      <w:r w:rsidRPr="00B5686A">
        <w:rPr>
          <w:b/>
        </w:rPr>
        <w:t xml:space="preserve">do </w:t>
      </w:r>
      <w:r w:rsidR="00E13020" w:rsidRPr="00B5686A">
        <w:rPr>
          <w:b/>
        </w:rPr>
        <w:t>4</w:t>
      </w:r>
      <w:r w:rsidRPr="00B5686A">
        <w:rPr>
          <w:b/>
        </w:rPr>
        <w:t xml:space="preserve"> měsíců</w:t>
      </w:r>
      <w:r w:rsidRPr="00B5686A">
        <w:t xml:space="preserve"> ode dne uzavření této smlouvy.</w:t>
      </w:r>
    </w:p>
    <w:p w:rsidR="002E5F11" w:rsidRDefault="002E5F11">
      <w:pPr>
        <w:pStyle w:val="rove1"/>
        <w:keepNext/>
        <w:ind w:left="709" w:hanging="709"/>
      </w:pPr>
      <w:r>
        <w:t>Kupní cena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>
        <w:t xml:space="preserve">Kupní cena předmětu prodeje je stanovena na základě nabídky prodávajícího </w:t>
      </w:r>
      <w:r w:rsidR="00E6024F">
        <w:t xml:space="preserve">na veřejnou </w:t>
      </w:r>
      <w:r w:rsidR="006D5A31">
        <w:t>zakázk</w:t>
      </w:r>
      <w:r w:rsidR="00E6024F">
        <w:t>u</w:t>
      </w:r>
      <w:r w:rsidR="006D5A31">
        <w:t xml:space="preserve"> malého rozsahu </w:t>
      </w:r>
      <w:r>
        <w:t>na částku:</w:t>
      </w:r>
    </w:p>
    <w:p w:rsidR="006D5A31" w:rsidRDefault="006D5A31" w:rsidP="006D5A31">
      <w:pPr>
        <w:pStyle w:val="rove2"/>
        <w:numPr>
          <w:ilvl w:val="0"/>
          <w:numId w:val="0"/>
        </w:numPr>
        <w:ind w:left="709"/>
      </w:pPr>
    </w:p>
    <w:p w:rsidR="002E5F11" w:rsidRPr="00350506" w:rsidRDefault="005B1F68" w:rsidP="00350506">
      <w:pPr>
        <w:pStyle w:val="rove2"/>
        <w:numPr>
          <w:ilvl w:val="0"/>
          <w:numId w:val="0"/>
        </w:numPr>
        <w:ind w:left="1980" w:firstLine="5"/>
        <w:rPr>
          <w:b/>
          <w:highlight w:val="yellow"/>
        </w:rPr>
      </w:pPr>
      <w:r w:rsidRPr="00350506">
        <w:rPr>
          <w:b/>
        </w:rPr>
        <w:t>Ce</w:t>
      </w:r>
      <w:r w:rsidR="006D5A31">
        <w:rPr>
          <w:b/>
        </w:rPr>
        <w:t>na</w:t>
      </w:r>
      <w:r w:rsidR="006D5A31">
        <w:rPr>
          <w:b/>
        </w:rPr>
        <w:tab/>
      </w:r>
      <w:r w:rsidR="006D5A31">
        <w:rPr>
          <w:b/>
        </w:rPr>
        <w:tab/>
      </w:r>
      <w:r w:rsidR="006D5A31">
        <w:rPr>
          <w:b/>
        </w:rPr>
        <w:tab/>
      </w:r>
      <w:r w:rsidRPr="00350506">
        <w:rPr>
          <w:b/>
        </w:rPr>
        <w:tab/>
      </w:r>
      <w:r w:rsidR="00992F01">
        <w:rPr>
          <w:b/>
        </w:rPr>
        <w:tab/>
      </w:r>
      <w:r w:rsidR="002E5F11" w:rsidRPr="00350506">
        <w:rPr>
          <w:b/>
          <w:highlight w:val="yellow"/>
        </w:rPr>
        <w:t>Doplnit cenu</w:t>
      </w:r>
      <w:r w:rsidR="002E5F11" w:rsidRPr="00350506">
        <w:rPr>
          <w:b/>
          <w:highlight w:val="yellow"/>
        </w:rPr>
        <w:tab/>
      </w:r>
      <w:r w:rsidR="002E5F11" w:rsidRPr="00350506">
        <w:rPr>
          <w:b/>
        </w:rPr>
        <w:t>Kč bez DPH</w:t>
      </w:r>
    </w:p>
    <w:p w:rsidR="002E5F11" w:rsidRPr="00350506" w:rsidRDefault="002E5F11" w:rsidP="00350506">
      <w:pPr>
        <w:pStyle w:val="rove2"/>
        <w:numPr>
          <w:ilvl w:val="0"/>
          <w:numId w:val="0"/>
        </w:numPr>
        <w:ind w:left="4957" w:firstLine="707"/>
        <w:rPr>
          <w:b/>
        </w:rPr>
      </w:pPr>
      <w:r w:rsidRPr="00350506">
        <w:rPr>
          <w:b/>
          <w:highlight w:val="yellow"/>
        </w:rPr>
        <w:t>Doplnit</w:t>
      </w:r>
      <w:r w:rsidR="005B1F68" w:rsidRPr="00350506">
        <w:rPr>
          <w:b/>
          <w:highlight w:val="yellow"/>
        </w:rPr>
        <w:tab/>
      </w:r>
      <w:r w:rsidRPr="00350506">
        <w:rPr>
          <w:b/>
        </w:rPr>
        <w:t>DPH</w:t>
      </w:r>
      <w:r w:rsidR="005B1F68" w:rsidRPr="00350506">
        <w:rPr>
          <w:b/>
        </w:rPr>
        <w:t xml:space="preserve"> v</w:t>
      </w:r>
      <w:r w:rsidR="00350506" w:rsidRPr="00350506">
        <w:rPr>
          <w:b/>
        </w:rPr>
        <w:t xml:space="preserve"> </w:t>
      </w:r>
      <w:r w:rsidRPr="00350506">
        <w:rPr>
          <w:b/>
        </w:rPr>
        <w:t>Kč</w:t>
      </w:r>
    </w:p>
    <w:p w:rsidR="002E5F11" w:rsidRPr="00350506" w:rsidRDefault="002E5F11" w:rsidP="00350506">
      <w:pPr>
        <w:pStyle w:val="rove2"/>
        <w:numPr>
          <w:ilvl w:val="0"/>
          <w:numId w:val="0"/>
        </w:numPr>
        <w:ind w:left="4957" w:firstLine="707"/>
        <w:rPr>
          <w:b/>
        </w:rPr>
      </w:pPr>
      <w:r w:rsidRPr="00350506">
        <w:rPr>
          <w:b/>
          <w:highlight w:val="yellow"/>
        </w:rPr>
        <w:t>Doplnit cenu</w:t>
      </w:r>
      <w:r w:rsidRPr="00350506">
        <w:rPr>
          <w:b/>
          <w:highlight w:val="yellow"/>
        </w:rPr>
        <w:tab/>
      </w:r>
      <w:r w:rsidRPr="00350506">
        <w:rPr>
          <w:b/>
        </w:rPr>
        <w:t>Kč s DPH</w:t>
      </w:r>
    </w:p>
    <w:p w:rsidR="002E5F11" w:rsidRDefault="002E5F11">
      <w:pPr>
        <w:pStyle w:val="rove2"/>
        <w:numPr>
          <w:ilvl w:val="0"/>
          <w:numId w:val="0"/>
        </w:numPr>
      </w:pPr>
    </w:p>
    <w:p w:rsidR="002E5F11" w:rsidRDefault="002E5F11">
      <w:pPr>
        <w:pStyle w:val="rove2"/>
        <w:tabs>
          <w:tab w:val="clear" w:pos="792"/>
        </w:tabs>
        <w:ind w:left="709" w:hanging="709"/>
      </w:pPr>
      <w:r>
        <w:t>V kupní ceně jsou zahrnuty veškeré náklady prodávajícího související s řádným a včasným dodáním předmětu prodeje, zejména náklady na zajištění zboží, skladování, balné, pojištění. Dále je v kupní ceně zahrnuta cena dopravy zboží do místa plnění a zaškolení kupujícího nebo osob jím určených ohledně způsobu užívání předmětu prodeje.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E26162">
        <w:t>DPH bude účtov</w:t>
      </w:r>
      <w:r>
        <w:t>áno</w:t>
      </w:r>
      <w:r w:rsidRPr="00E26162">
        <w:t xml:space="preserve"> na základě platných </w:t>
      </w:r>
      <w:r>
        <w:t xml:space="preserve">právních </w:t>
      </w:r>
      <w:r w:rsidRPr="00E26162">
        <w:t>přepisů</w:t>
      </w:r>
      <w:r>
        <w:t>.</w:t>
      </w:r>
    </w:p>
    <w:p w:rsidR="002E5F11" w:rsidRDefault="002E5F11">
      <w:pPr>
        <w:pStyle w:val="rove1"/>
        <w:keepNext/>
        <w:ind w:left="709" w:hanging="709"/>
        <w:rPr>
          <w:color w:val="000000"/>
        </w:rPr>
      </w:pPr>
      <w:r>
        <w:rPr>
          <w:color w:val="000000"/>
        </w:rPr>
        <w:t>Platební podmínky</w:t>
      </w:r>
    </w:p>
    <w:p w:rsidR="002E5F11" w:rsidRPr="00E654F4" w:rsidRDefault="002E5F11">
      <w:pPr>
        <w:pStyle w:val="rove2"/>
        <w:tabs>
          <w:tab w:val="clear" w:pos="792"/>
        </w:tabs>
        <w:ind w:left="709" w:hanging="709"/>
      </w:pPr>
      <w:r w:rsidRPr="00E654F4">
        <w:t>Kupující se za zboží poskytnuté prodávajícím dle této smlouvy zavazuje zaplatit prodávajícímu kupní cenu, a to řádně a včas.</w:t>
      </w:r>
    </w:p>
    <w:p w:rsidR="002E5F11" w:rsidRPr="00E654F4" w:rsidRDefault="002E5F11">
      <w:pPr>
        <w:pStyle w:val="rove2"/>
        <w:tabs>
          <w:tab w:val="clear" w:pos="792"/>
        </w:tabs>
        <w:ind w:left="709" w:hanging="709"/>
      </w:pPr>
      <w:r w:rsidRPr="005568DC">
        <w:t>Splatnost faktury je 30 dnů ode</w:t>
      </w:r>
      <w:r w:rsidRPr="00E654F4">
        <w:t xml:space="preserve"> dne vystavení řádného a úplného daňového dokladu, jehož nedílnou přílohou musí být vždy originál potvrzeného dodacího listu dle čl. 7.1 a 7.2 této smlouvy, jako podklad pro správnost vyúčtování kupní ceny.</w:t>
      </w:r>
    </w:p>
    <w:p w:rsidR="002E5F11" w:rsidRPr="00E654F4" w:rsidRDefault="002E5F11">
      <w:pPr>
        <w:pStyle w:val="rove2"/>
        <w:tabs>
          <w:tab w:val="clear" w:pos="792"/>
        </w:tabs>
        <w:ind w:left="709" w:hanging="709"/>
      </w:pPr>
      <w:r w:rsidRPr="00E654F4">
        <w:t>Faktura na provedenou dodávku zboží (předmět prodeje) bude vystavena do 15 dnů od uskutečnění zdanitelného plnění (tj. od data předání a převzetí uvedeném na dodacím listě), musí splňovat náležitosti daňového dokladu a musí být zaslána na adresu kupujícího uvedenou v záhlaví této smlouvy. V opačném případě má kupující právo fakturu do 15 dnů od doručení vrátit k doplnění či opravě bez toho, že by byl v prodlení s úhradou. Tímto úkonem se přeruší lhůta splatnosti a nová lhůta splatnosti začne běžet dnem doručení opravené faktury kupujícímu. Ohledně úhrady kupní ceny či její nesplacené části se v</w:t>
      </w:r>
      <w:r w:rsidR="00E6024F">
        <w:t> </w:t>
      </w:r>
      <w:r w:rsidRPr="00E654F4">
        <w:t xml:space="preserve">takových případech kupující neocitá v prodlení. </w:t>
      </w:r>
    </w:p>
    <w:p w:rsidR="002E5F11" w:rsidRPr="00E654F4" w:rsidRDefault="002E5F11">
      <w:pPr>
        <w:pStyle w:val="rove2"/>
        <w:tabs>
          <w:tab w:val="clear" w:pos="792"/>
        </w:tabs>
        <w:ind w:left="709" w:hanging="709"/>
      </w:pPr>
      <w:r w:rsidRPr="00E654F4">
        <w:t>Termínem úhrady se rozumí den odepsání z účtu kupujícího.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E654F4">
        <w:lastRenderedPageBreak/>
        <w:t>Smluvní strany si sjednávají, že jakoukoli pohledávku vzniklou na základě této smlouvy lze postoupit na třetí osobu pouze s předchozím písemným souhlasem strany, proti níž taková pohledávka směřuje.</w:t>
      </w:r>
    </w:p>
    <w:p w:rsidR="002E5F11" w:rsidRPr="00CE6BED" w:rsidRDefault="002E5F11">
      <w:pPr>
        <w:pStyle w:val="rove2"/>
        <w:tabs>
          <w:tab w:val="clear" w:pos="792"/>
        </w:tabs>
        <w:ind w:left="709" w:hanging="709"/>
        <w:rPr>
          <w:color w:val="000000"/>
        </w:rPr>
      </w:pPr>
      <w:r>
        <w:rPr>
          <w:color w:val="000000"/>
        </w:rPr>
        <w:t>Prodávající</w:t>
      </w:r>
      <w:r w:rsidRPr="00CE6BED">
        <w:rPr>
          <w:color w:val="000000"/>
        </w:rPr>
        <w:t xml:space="preserve"> se zavazuje, že na jím vydaných daňových dokladech bude uvádět pouze čísla tuzemských bankovních účtů, která jsou správcem daně zveřejněna způsobem umožňujícím dálkový přístup (§</w:t>
      </w:r>
      <w:r w:rsidR="00E6024F">
        <w:rPr>
          <w:color w:val="000000"/>
        </w:rPr>
        <w:t> </w:t>
      </w:r>
      <w:r w:rsidRPr="00CE6BED">
        <w:rPr>
          <w:color w:val="000000"/>
        </w:rPr>
        <w:t>98 písm.</w:t>
      </w:r>
      <w:r w:rsidR="00E6024F">
        <w:rPr>
          <w:color w:val="000000"/>
        </w:rPr>
        <w:t> </w:t>
      </w:r>
      <w:r w:rsidRPr="00CE6BED">
        <w:rPr>
          <w:color w:val="000000"/>
        </w:rPr>
        <w:t>d)  zákona č.</w:t>
      </w:r>
      <w:r w:rsidR="00B5113E">
        <w:rPr>
          <w:color w:val="000000"/>
        </w:rPr>
        <w:t> </w:t>
      </w:r>
      <w:r w:rsidRPr="00CE6BED">
        <w:rPr>
          <w:color w:val="000000"/>
        </w:rPr>
        <w:t>235/2004</w:t>
      </w:r>
      <w:r w:rsidR="00B5113E">
        <w:rPr>
          <w:color w:val="000000"/>
        </w:rPr>
        <w:t> </w:t>
      </w:r>
      <w:r w:rsidRPr="00CE6BED">
        <w:rPr>
          <w:color w:val="000000"/>
        </w:rPr>
        <w:t>Sb., o</w:t>
      </w:r>
      <w:r w:rsidR="00B5113E">
        <w:rPr>
          <w:color w:val="000000"/>
        </w:rPr>
        <w:t> </w:t>
      </w:r>
      <w:r w:rsidRPr="00CE6BED">
        <w:rPr>
          <w:color w:val="000000"/>
        </w:rPr>
        <w:t>dani z</w:t>
      </w:r>
      <w:r w:rsidR="00B5113E">
        <w:rPr>
          <w:color w:val="000000"/>
        </w:rPr>
        <w:t> </w:t>
      </w:r>
      <w:r w:rsidRPr="00CE6BED">
        <w:rPr>
          <w:color w:val="000000"/>
        </w:rPr>
        <w:t xml:space="preserve">přidané hodnoty).  V případě, že daňový doklad bude obsahovat jiný než takto zveřejněný tuzemský bankovní účet, má </w:t>
      </w:r>
      <w:r>
        <w:rPr>
          <w:color w:val="000000"/>
        </w:rPr>
        <w:t>kupující</w:t>
      </w:r>
      <w:r w:rsidRPr="00CE6BED">
        <w:rPr>
          <w:color w:val="000000"/>
        </w:rPr>
        <w:t xml:space="preserve"> právo ponížit platbu </w:t>
      </w:r>
      <w:r>
        <w:rPr>
          <w:color w:val="000000"/>
        </w:rPr>
        <w:t>prodávajícímu</w:t>
      </w:r>
      <w:r w:rsidRPr="00CE6BED">
        <w:rPr>
          <w:color w:val="000000"/>
        </w:rPr>
        <w:t xml:space="preserve"> uskutečňovanou na základě této smlouvy o příslušnou částku DPH a současně je </w:t>
      </w:r>
      <w:r w:rsidRPr="00CE6BED">
        <w:rPr>
          <w:iCs/>
          <w:color w:val="000000"/>
        </w:rPr>
        <w:t>oprávněn odvést částku DPH z příslušného plnění</w:t>
      </w:r>
      <w:r>
        <w:rPr>
          <w:iCs/>
          <w:color w:val="000000"/>
        </w:rPr>
        <w:t xml:space="preserve"> přímo na účet finančnímu úřadu.</w:t>
      </w:r>
      <w:r w:rsidRPr="00CE6BED">
        <w:rPr>
          <w:color w:val="000000"/>
        </w:rPr>
        <w:t xml:space="preserve"> Smluvní strany si sjednávají, že takto </w:t>
      </w:r>
      <w:r>
        <w:rPr>
          <w:color w:val="000000"/>
        </w:rPr>
        <w:t>prodávajícímu</w:t>
      </w:r>
      <w:r w:rsidRPr="00CE6BED">
        <w:rPr>
          <w:color w:val="000000"/>
        </w:rPr>
        <w:t xml:space="preserve"> nevyplacenou částku DPH odvede správci daně sám </w:t>
      </w:r>
      <w:r>
        <w:rPr>
          <w:color w:val="000000"/>
        </w:rPr>
        <w:t>kupující</w:t>
      </w:r>
      <w:r w:rsidRPr="00CE6BED">
        <w:rPr>
          <w:color w:val="000000"/>
        </w:rPr>
        <w:t xml:space="preserve"> v souladu s ustanovením § 109a zákona č. 235/2004 Sb. o dani z přidané hodnoty.</w:t>
      </w:r>
    </w:p>
    <w:p w:rsidR="002E5F11" w:rsidRPr="00491B2A" w:rsidRDefault="002E5F11">
      <w:pPr>
        <w:pStyle w:val="rove2"/>
        <w:tabs>
          <w:tab w:val="clear" w:pos="792"/>
        </w:tabs>
        <w:ind w:left="709" w:hanging="709"/>
        <w:rPr>
          <w:color w:val="000000"/>
        </w:rPr>
      </w:pPr>
      <w:r w:rsidRPr="00CE6BED">
        <w:rPr>
          <w:color w:val="000000"/>
        </w:rPr>
        <w:t xml:space="preserve">V případě, že se </w:t>
      </w:r>
      <w:r>
        <w:rPr>
          <w:color w:val="000000"/>
        </w:rPr>
        <w:t>prodávající</w:t>
      </w:r>
      <w:r w:rsidRPr="00CE6BED">
        <w:rPr>
          <w:color w:val="000000"/>
        </w:rPr>
        <w:t xml:space="preserve"> stane tzv. nespolehlivým plátcem DPH ve smyslu §</w:t>
      </w:r>
      <w:r w:rsidR="00C24868">
        <w:rPr>
          <w:color w:val="000000"/>
        </w:rPr>
        <w:t> </w:t>
      </w:r>
      <w:r w:rsidRPr="00CE6BED">
        <w:rPr>
          <w:color w:val="000000"/>
        </w:rPr>
        <w:t>106a zák</w:t>
      </w:r>
      <w:r w:rsidR="00C24868">
        <w:rPr>
          <w:color w:val="000000"/>
        </w:rPr>
        <w:t>ona</w:t>
      </w:r>
      <w:r w:rsidRPr="00CE6BED">
        <w:rPr>
          <w:color w:val="000000"/>
        </w:rPr>
        <w:t xml:space="preserve"> č.</w:t>
      </w:r>
      <w:r w:rsidR="00C24868">
        <w:rPr>
          <w:color w:val="000000"/>
        </w:rPr>
        <w:t> </w:t>
      </w:r>
      <w:r w:rsidRPr="00CE6BED">
        <w:rPr>
          <w:color w:val="000000"/>
        </w:rPr>
        <w:t xml:space="preserve">235/2004 Sb., o dani z přidané hodnoty, je </w:t>
      </w:r>
      <w:r>
        <w:rPr>
          <w:color w:val="000000"/>
        </w:rPr>
        <w:t>kupující</w:t>
      </w:r>
      <w:r w:rsidRPr="00CE6BED">
        <w:rPr>
          <w:color w:val="000000"/>
        </w:rPr>
        <w:t xml:space="preserve"> oprávněn odvést částku DPH z příslušného plnění přímo na účet finančnímu úřadu, a to v návaznosti na §</w:t>
      </w:r>
      <w:r w:rsidR="00C24868">
        <w:rPr>
          <w:color w:val="000000"/>
        </w:rPr>
        <w:t> </w:t>
      </w:r>
      <w:r w:rsidRPr="00CE6BED">
        <w:rPr>
          <w:color w:val="000000"/>
        </w:rPr>
        <w:t>109 a §</w:t>
      </w:r>
      <w:r w:rsidR="00C24868">
        <w:rPr>
          <w:color w:val="000000"/>
        </w:rPr>
        <w:t> </w:t>
      </w:r>
      <w:r w:rsidRPr="00CE6BED">
        <w:rPr>
          <w:color w:val="000000"/>
        </w:rPr>
        <w:t>109a zákona č.</w:t>
      </w:r>
      <w:r w:rsidR="00E64B9A">
        <w:rPr>
          <w:color w:val="000000"/>
        </w:rPr>
        <w:t> </w:t>
      </w:r>
      <w:r w:rsidRPr="00CE6BED">
        <w:rPr>
          <w:color w:val="000000"/>
        </w:rPr>
        <w:t>235/2004</w:t>
      </w:r>
      <w:r w:rsidR="00E64B9A">
        <w:rPr>
          <w:color w:val="000000"/>
        </w:rPr>
        <w:t> </w:t>
      </w:r>
      <w:r w:rsidRPr="00CE6BED">
        <w:rPr>
          <w:color w:val="000000"/>
        </w:rPr>
        <w:t xml:space="preserve">Sb., o dani z přidané hodnoty. V takovém případě tuto skutečnost </w:t>
      </w:r>
      <w:r>
        <w:rPr>
          <w:color w:val="000000"/>
        </w:rPr>
        <w:t>kupující</w:t>
      </w:r>
      <w:r w:rsidRPr="00CE6BED">
        <w:rPr>
          <w:color w:val="000000"/>
        </w:rPr>
        <w:t xml:space="preserve"> oznámí </w:t>
      </w:r>
      <w:r>
        <w:rPr>
          <w:color w:val="000000"/>
        </w:rPr>
        <w:t>prodávajícímu</w:t>
      </w:r>
      <w:r w:rsidRPr="00CE6BED">
        <w:rPr>
          <w:color w:val="000000"/>
        </w:rPr>
        <w:t xml:space="preserve"> a úhradou DPH na účet finančního úřadu se pohledávka </w:t>
      </w:r>
      <w:r>
        <w:rPr>
          <w:color w:val="000000"/>
        </w:rPr>
        <w:t>kupujícího</w:t>
      </w:r>
      <w:r w:rsidRPr="00CE6BED">
        <w:rPr>
          <w:color w:val="000000"/>
        </w:rPr>
        <w:t xml:space="preserve"> vůči </w:t>
      </w:r>
      <w:r>
        <w:rPr>
          <w:color w:val="000000"/>
        </w:rPr>
        <w:t>prodávajícímu</w:t>
      </w:r>
      <w:r w:rsidRPr="00CE6BED">
        <w:rPr>
          <w:color w:val="000000"/>
        </w:rPr>
        <w:t xml:space="preserve"> v částce uhrazené DPH považuje bez ohledu na další ustanovení této smlouvy za uhrazenou. Skutečnost, že se </w:t>
      </w:r>
      <w:r>
        <w:rPr>
          <w:color w:val="000000"/>
        </w:rPr>
        <w:t>prodávající</w:t>
      </w:r>
      <w:r w:rsidRPr="00CE6BED">
        <w:rPr>
          <w:color w:val="000000"/>
        </w:rPr>
        <w:t xml:space="preserve"> stal tzv. nespolehlivým plátcem DPH</w:t>
      </w:r>
      <w:r w:rsidR="00383627">
        <w:rPr>
          <w:color w:val="000000"/>
        </w:rPr>
        <w:t>,</w:t>
      </w:r>
      <w:r w:rsidRPr="00CE6BED">
        <w:rPr>
          <w:color w:val="000000"/>
        </w:rPr>
        <w:t xml:space="preserve"> bude ověřena z veřejně dostupného</w:t>
      </w:r>
      <w:r w:rsidRPr="00CE6BE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5486B">
        <w:rPr>
          <w:color w:val="000000"/>
        </w:rPr>
        <w:t>Registru plátců DPH a</w:t>
      </w:r>
      <w:r w:rsidR="00E64B9A">
        <w:rPr>
          <w:color w:val="000000"/>
        </w:rPr>
        <w:t> </w:t>
      </w:r>
      <w:r w:rsidRPr="0045486B">
        <w:rPr>
          <w:color w:val="000000"/>
        </w:rPr>
        <w:t>identifikovaných osob</w:t>
      </w:r>
      <w:r w:rsidRPr="00CE6BED">
        <w:rPr>
          <w:color w:val="000000"/>
        </w:rPr>
        <w:t xml:space="preserve">, což </w:t>
      </w:r>
      <w:r>
        <w:rPr>
          <w:color w:val="000000"/>
        </w:rPr>
        <w:t>prodávající</w:t>
      </w:r>
      <w:r w:rsidRPr="00CE6BED">
        <w:rPr>
          <w:color w:val="000000"/>
        </w:rPr>
        <w:t xml:space="preserve"> výslovně akceptuje a nebude činit sporným.</w:t>
      </w:r>
    </w:p>
    <w:p w:rsidR="002E5F11" w:rsidRPr="00223789" w:rsidRDefault="002E5F11">
      <w:pPr>
        <w:pStyle w:val="rove1"/>
        <w:ind w:left="709" w:hanging="709"/>
      </w:pPr>
      <w:r w:rsidRPr="00223789">
        <w:t>Podmínky dodání předmětu prodeje</w:t>
      </w:r>
    </w:p>
    <w:p w:rsidR="002E5F11" w:rsidRPr="00223789" w:rsidRDefault="002E5F11">
      <w:pPr>
        <w:pStyle w:val="rove2"/>
        <w:tabs>
          <w:tab w:val="clear" w:pos="792"/>
        </w:tabs>
        <w:ind w:left="709" w:hanging="709"/>
      </w:pPr>
      <w:r w:rsidRPr="00223789">
        <w:t>Zboží bude prodávajícím</w:t>
      </w:r>
      <w:r w:rsidR="001F714B">
        <w:t xml:space="preserve"> dodáno na adresu Lipí 2642, Praha 9 Horní </w:t>
      </w:r>
      <w:proofErr w:type="gramStart"/>
      <w:r w:rsidR="001F714B">
        <w:t xml:space="preserve">Počernice </w:t>
      </w:r>
      <w:bookmarkStart w:id="0" w:name="_GoBack"/>
      <w:bookmarkEnd w:id="0"/>
      <w:r w:rsidRPr="00223789">
        <w:t xml:space="preserve"> a kupujícím</w:t>
      </w:r>
      <w:proofErr w:type="gramEnd"/>
      <w:r w:rsidRPr="00223789">
        <w:t xml:space="preserve"> převzato na základě dodacího listu potvrzeného zástupcem kupujícího. 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223789">
        <w:t xml:space="preserve">Osobami oprávněnými potvrdit dodací list, resp. dodací listy, v zastoupení kupujícího, </w:t>
      </w:r>
      <w:r>
        <w:t>za předpokladu</w:t>
      </w:r>
      <w:r w:rsidRPr="00223789">
        <w:t xml:space="preserve"> provedení pečlivé kontroly souladu dodávky zboží s podmínkami dle této smlouvy a uvedení data</w:t>
      </w:r>
      <w:r>
        <w:t xml:space="preserve"> převzetí, jsou:</w:t>
      </w:r>
    </w:p>
    <w:p w:rsidR="002E5F11" w:rsidRPr="002028A3" w:rsidRDefault="00C24868">
      <w:pPr>
        <w:pStyle w:val="Bezseznamu1"/>
        <w:ind w:firstLine="708"/>
        <w:rPr>
          <w:rFonts w:ascii="Times New Roman" w:hAnsi="Times New Roman"/>
          <w:bCs/>
          <w:sz w:val="24"/>
          <w:szCs w:val="24"/>
        </w:rPr>
      </w:pPr>
      <w:r w:rsidRPr="002028A3">
        <w:rPr>
          <w:rFonts w:ascii="Times New Roman" w:hAnsi="Times New Roman"/>
          <w:bCs/>
          <w:sz w:val="24"/>
          <w:szCs w:val="24"/>
        </w:rPr>
        <w:t xml:space="preserve">Jaroslav Píša, vedoucí Odboru místního hospodářství </w:t>
      </w:r>
    </w:p>
    <w:p w:rsidR="00682CB2" w:rsidRPr="002028A3" w:rsidRDefault="00682CB2">
      <w:pPr>
        <w:pStyle w:val="Bezseznamu1"/>
        <w:ind w:firstLine="708"/>
        <w:rPr>
          <w:rFonts w:ascii="Times New Roman" w:hAnsi="Times New Roman"/>
          <w:bCs/>
          <w:sz w:val="24"/>
          <w:szCs w:val="24"/>
          <w:highlight w:val="cyan"/>
        </w:rPr>
      </w:pPr>
      <w:r w:rsidRPr="002028A3">
        <w:rPr>
          <w:rFonts w:ascii="Times New Roman" w:hAnsi="Times New Roman"/>
          <w:bCs/>
          <w:sz w:val="24"/>
          <w:szCs w:val="24"/>
        </w:rPr>
        <w:t xml:space="preserve">Petr Báček, vedoucí oddělení místního hospodářství </w:t>
      </w:r>
    </w:p>
    <w:p w:rsidR="002E5F11" w:rsidRPr="00223789" w:rsidRDefault="002E5F11">
      <w:pPr>
        <w:pStyle w:val="rove2"/>
        <w:tabs>
          <w:tab w:val="clear" w:pos="792"/>
        </w:tabs>
        <w:ind w:left="709" w:hanging="709"/>
      </w:pPr>
      <w:r w:rsidRPr="00223789">
        <w:t>Kupující je oprávněn odmítnout zboží převzít, bud</w:t>
      </w:r>
      <w:r w:rsidR="00573841">
        <w:t>ou</w:t>
      </w:r>
      <w:r w:rsidRPr="00223789">
        <w:t>-li se na něm či jeho části vyskytovat v</w:t>
      </w:r>
      <w:r w:rsidR="00E64B9A">
        <w:t> </w:t>
      </w:r>
      <w:r w:rsidRPr="00223789">
        <w:t>okamžiku předání vad</w:t>
      </w:r>
      <w:r w:rsidR="00573841">
        <w:t>y</w:t>
      </w:r>
      <w:r w:rsidRPr="00223789">
        <w:t xml:space="preserve"> anebo zboží nebude splňovat požadované technické parametry</w:t>
      </w:r>
      <w:r>
        <w:t xml:space="preserve"> dle čl. 2.2 této smlouvy</w:t>
      </w:r>
      <w:r w:rsidRPr="00223789">
        <w:t>.</w:t>
      </w:r>
    </w:p>
    <w:p w:rsidR="002E5F11" w:rsidRPr="00223789" w:rsidRDefault="002E5F11">
      <w:pPr>
        <w:pStyle w:val="rove2"/>
        <w:tabs>
          <w:tab w:val="clear" w:pos="792"/>
        </w:tabs>
        <w:ind w:left="709" w:hanging="709"/>
      </w:pPr>
      <w:r w:rsidRPr="00223789">
        <w:t>Zboží se považuje za dodané a závazek prodávajícího dodat zboží je splněn až okamžikem převzetí zboží kupujícím bez vad.</w:t>
      </w:r>
    </w:p>
    <w:p w:rsidR="002E5F11" w:rsidRPr="00802D95" w:rsidRDefault="002E5F11">
      <w:pPr>
        <w:pStyle w:val="rove2"/>
        <w:tabs>
          <w:tab w:val="clear" w:pos="792"/>
        </w:tabs>
        <w:ind w:left="709" w:hanging="709"/>
      </w:pPr>
      <w:r w:rsidRPr="00223789">
        <w:t>Prodávající je vlastníkem zboží a nese nebezpečí škody na něm do nabytí vlastnického práva ke zboží kupujícím. Kupující nabývá vlastnické právo ke zboží převzetím zboží bez</w:t>
      </w:r>
      <w:r w:rsidRPr="00802D95">
        <w:t xml:space="preserve"> vad.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802D95">
        <w:t>Prodávající je povinen předat kupujícímu doklady, jež jsou nutné k převzetí a k užívání zboží, jakož i další doklady stanovené ve smlouvě.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802D95"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:rsidR="002E5F11" w:rsidRPr="00802D95" w:rsidRDefault="002E5F11">
      <w:pPr>
        <w:pStyle w:val="rove1"/>
        <w:keepNext/>
        <w:tabs>
          <w:tab w:val="clear" w:pos="360"/>
        </w:tabs>
        <w:ind w:left="709" w:hanging="709"/>
      </w:pPr>
      <w:r w:rsidRPr="00802D95">
        <w:lastRenderedPageBreak/>
        <w:t>Odpovědnost za vady</w:t>
      </w:r>
    </w:p>
    <w:p w:rsidR="002E5F11" w:rsidRPr="00CB39FA" w:rsidRDefault="002E5F11">
      <w:pPr>
        <w:pStyle w:val="rove2"/>
        <w:tabs>
          <w:tab w:val="clear" w:pos="792"/>
        </w:tabs>
        <w:ind w:left="709" w:hanging="709"/>
        <w:rPr>
          <w:color w:val="000000"/>
          <w:lang w:eastAsia="en-US"/>
        </w:rPr>
      </w:pPr>
      <w:r w:rsidRPr="000B338D">
        <w:rPr>
          <w:lang w:eastAsia="en-US"/>
        </w:rPr>
        <w:t>Prodávající odevzdá kupujícímu předmět koupě v ujednaném množství, jakosti a provedení</w:t>
      </w:r>
      <w:r w:rsidRPr="00E26162">
        <w:t>.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802D95">
        <w:t xml:space="preserve">Prodávající je povinen dodat předmět prodeje bez právních či faktických vad. 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E26162">
        <w:t>Prodávající odpovídá za vady zboží v plném rozsahu dle příslušných ustanovení</w:t>
      </w:r>
      <w:r>
        <w:t xml:space="preserve"> §</w:t>
      </w:r>
      <w:r w:rsidR="00820B6F">
        <w:t> </w:t>
      </w:r>
      <w:r>
        <w:t>2099 a</w:t>
      </w:r>
      <w:r w:rsidR="00820B6F">
        <w:t> </w:t>
      </w:r>
      <w:r>
        <w:t>násl.</w:t>
      </w:r>
      <w:r w:rsidRPr="00E26162">
        <w:t xml:space="preserve"> </w:t>
      </w:r>
      <w:r>
        <w:t>občanského zákoníku</w:t>
      </w:r>
      <w:r w:rsidRPr="00E26162">
        <w:t>.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3F417E">
        <w:t>Vadou se rozumí odchylka</w:t>
      </w:r>
      <w:r>
        <w:t xml:space="preserve"> </w:t>
      </w:r>
      <w:r w:rsidRPr="00EF0C88">
        <w:t>v množství, jakosti a provedení</w:t>
      </w:r>
      <w:r>
        <w:t xml:space="preserve"> zboží</w:t>
      </w:r>
      <w:r w:rsidRPr="00EF0C88">
        <w:t xml:space="preserve">, jež určuje </w:t>
      </w:r>
      <w:r>
        <w:t xml:space="preserve">tato </w:t>
      </w:r>
      <w:r w:rsidRPr="00EF0C88">
        <w:t>smlouva</w:t>
      </w:r>
      <w:r w:rsidRPr="003F417E">
        <w:t xml:space="preserve"> nebo</w:t>
      </w:r>
      <w:r>
        <w:t xml:space="preserve"> </w:t>
      </w:r>
      <w:r w:rsidRPr="003F417E">
        <w:t>obecně závazn</w:t>
      </w:r>
      <w:r>
        <w:t>é</w:t>
      </w:r>
      <w:r w:rsidRPr="003F417E">
        <w:t xml:space="preserve"> právní předpisy. Prodávající odpovídá za vady zjevné, skryté i právní, které má zboží v době jeho předání kupujícímu a dále za ty, které se na zboží vyskytnou v</w:t>
      </w:r>
      <w:r w:rsidR="00527CF1">
        <w:t> </w:t>
      </w:r>
      <w:r w:rsidRPr="003F417E">
        <w:t>záruční době</w:t>
      </w:r>
      <w:r>
        <w:t>. P</w:t>
      </w:r>
      <w:r w:rsidRPr="00432FD9">
        <w:t>rávo kupujícího z vadného plnění zakládá vada, kterou má věc při přechodu nebezpečí škody na kupujícího, byť se projeví až později. Právo kupujícího založí i</w:t>
      </w:r>
      <w:r w:rsidR="00527CF1">
        <w:t> </w:t>
      </w:r>
      <w:r w:rsidRPr="00432FD9">
        <w:t>později vzniklá vada, kterou prodávající způsobil porušením své povinnosti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3F417E">
        <w:t xml:space="preserve">Prodávající prohlašuje, že je výlučným vlastníkem zboží, že na zboží neváznou žádná práva třetích osob a že není dána žádná překážka, která by mu bránila se zbožím podle této smlouvy disponovat. </w:t>
      </w:r>
    </w:p>
    <w:p w:rsidR="002E5F11" w:rsidRPr="003F417E" w:rsidRDefault="002E5F11">
      <w:pPr>
        <w:pStyle w:val="rove2"/>
        <w:tabs>
          <w:tab w:val="clear" w:pos="792"/>
        </w:tabs>
        <w:ind w:left="709" w:hanging="709"/>
      </w:pPr>
      <w:r w:rsidRPr="003F417E">
        <w:t>Prodávající prohlašuje, že zboží nemá žádné vady, které by bránily jeho použití k</w:t>
      </w:r>
      <w:r>
        <w:t xml:space="preserve"> účelu, který je ve smlouvě stanoven nebo </w:t>
      </w:r>
      <w:r w:rsidRPr="00C54002">
        <w:t>k němuž se takové zboží zpravidla užívá.</w:t>
      </w:r>
    </w:p>
    <w:p w:rsidR="002E5F11" w:rsidRPr="009872A8" w:rsidRDefault="002E5F11">
      <w:pPr>
        <w:pStyle w:val="rove2"/>
        <w:tabs>
          <w:tab w:val="clear" w:pos="792"/>
        </w:tabs>
        <w:ind w:left="709" w:hanging="709"/>
      </w:pPr>
      <w:r w:rsidRPr="003F417E">
        <w:t>Prodávající poskytuje ve smyslu §</w:t>
      </w:r>
      <w:r w:rsidR="00527CF1">
        <w:t> </w:t>
      </w:r>
      <w:r>
        <w:t>2113</w:t>
      </w:r>
      <w:r w:rsidRPr="003F417E">
        <w:t xml:space="preserve"> </w:t>
      </w:r>
      <w:r>
        <w:t>občanského zákoníku</w:t>
      </w:r>
      <w:r w:rsidRPr="003F417E">
        <w:t xml:space="preserve"> kupujícímu záruku za jakost zb</w:t>
      </w:r>
      <w:r>
        <w:t>oží spočívající v tom, že d</w:t>
      </w:r>
      <w:r w:rsidRPr="00483363">
        <w:t>odané zboží bude po</w:t>
      </w:r>
      <w:r>
        <w:t xml:space="preserve"> celou záruční</w:t>
      </w:r>
      <w:r w:rsidRPr="00483363">
        <w:t xml:space="preserve"> dobu způsobilé pro použití ke sm</w:t>
      </w:r>
      <w:r w:rsidRPr="009872A8">
        <w:t>luvenému, jinak k obvyklému účelu, nebo že si zachová smluvené, jinak obvyklé vlastnosti.</w:t>
      </w:r>
    </w:p>
    <w:p w:rsidR="002E5F11" w:rsidRPr="002028A3" w:rsidRDefault="002E5F11">
      <w:pPr>
        <w:pStyle w:val="rove2"/>
        <w:tabs>
          <w:tab w:val="clear" w:pos="792"/>
        </w:tabs>
        <w:ind w:left="709" w:hanging="709"/>
      </w:pPr>
      <w:r w:rsidRPr="009872A8">
        <w:t xml:space="preserve">Záruční doba počíná běžet dnem převzetí zboží bez vad kupujícím a </w:t>
      </w:r>
      <w:r w:rsidRPr="002028A3">
        <w:t xml:space="preserve">trvá </w:t>
      </w:r>
      <w:r w:rsidR="00F279D5" w:rsidRPr="002028A3">
        <w:rPr>
          <w:b/>
        </w:rPr>
        <w:t>24</w:t>
      </w:r>
      <w:r w:rsidRPr="002028A3">
        <w:rPr>
          <w:b/>
        </w:rPr>
        <w:t xml:space="preserve"> měsíců</w:t>
      </w:r>
      <w:r w:rsidRPr="002028A3">
        <w:t xml:space="preserve">. </w:t>
      </w:r>
    </w:p>
    <w:p w:rsidR="002E5F11" w:rsidRPr="00E26162" w:rsidRDefault="002E5F11">
      <w:pPr>
        <w:pStyle w:val="rove1"/>
        <w:keepNext/>
        <w:ind w:left="709" w:hanging="709"/>
      </w:pPr>
      <w:r w:rsidRPr="00E26162">
        <w:t>Podmínky reklamace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E26162">
        <w:t xml:space="preserve">Kupující je povinen zboží zkontrolovat bezprostředně po jeho převzetí tak, aby zjistil vady, které je možné zjistit při vynaložení odborné péče. Zjevné kvalitativní a kvantitativní vady musí být reklamovány </w:t>
      </w:r>
      <w:r>
        <w:t>při</w:t>
      </w:r>
      <w:r w:rsidRPr="00E26162">
        <w:t xml:space="preserve"> převzetí zboží za účasti zástupce nebo dopravce prodávajícího, </w:t>
      </w:r>
      <w:r>
        <w:t xml:space="preserve">který přijetí reklamace potvrdí. </w:t>
      </w:r>
      <w:r w:rsidR="0000353F">
        <w:t>Za vadu se považují i vady v dokladech nutných pro užívání věci.</w:t>
      </w:r>
    </w:p>
    <w:p w:rsidR="002E5F11" w:rsidRPr="00E26162" w:rsidRDefault="002E5F11">
      <w:pPr>
        <w:pStyle w:val="rove2"/>
        <w:tabs>
          <w:tab w:val="clear" w:pos="792"/>
        </w:tabs>
        <w:ind w:left="709" w:hanging="709"/>
      </w:pPr>
      <w:r>
        <w:t xml:space="preserve">Kupující </w:t>
      </w:r>
      <w:r w:rsidR="00573841">
        <w:t>j</w:t>
      </w:r>
      <w:r>
        <w:t>e povinen oznámit výskyt vady na zboží v průběhu záruční doby vždy bez zbytečného odkladu poté, co vadu zjistil</w:t>
      </w:r>
      <w:r w:rsidR="00573841">
        <w:t xml:space="preserve"> (zpravidla do 3 pracovních dnů)</w:t>
      </w:r>
      <w:r>
        <w:t>.</w:t>
      </w:r>
      <w:r w:rsidRPr="00E26162">
        <w:t xml:space="preserve"> 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E26162">
        <w:t>Reklamace musí být uplatněna v písemné formě na</w:t>
      </w:r>
      <w:r>
        <w:t xml:space="preserve"> </w:t>
      </w:r>
      <w:r w:rsidRPr="00E26162">
        <w:t xml:space="preserve">místě při převzetí zboží anebo prostřednictvím emailu, s popisem vady. Prodávající je povinen potvrdit přijetí reklamace obratem a vyřídit ji </w:t>
      </w:r>
      <w:r>
        <w:t xml:space="preserve">odstraněním vady </w:t>
      </w:r>
      <w:r w:rsidRPr="00E26162">
        <w:t xml:space="preserve">do </w:t>
      </w:r>
      <w:r>
        <w:t>2</w:t>
      </w:r>
      <w:r w:rsidRPr="00E26162">
        <w:t xml:space="preserve"> pracovní</w:t>
      </w:r>
      <w:r>
        <w:t>ch</w:t>
      </w:r>
      <w:r w:rsidRPr="00E26162">
        <w:t xml:space="preserve"> dn</w:t>
      </w:r>
      <w:r>
        <w:t>ů</w:t>
      </w:r>
      <w:r w:rsidRPr="00E26162">
        <w:t xml:space="preserve">, pokud by dodání vadného zboží způsobovalo vážné provozní problémy, jinak do </w:t>
      </w:r>
      <w:r>
        <w:t>5</w:t>
      </w:r>
      <w:r w:rsidRPr="00E26162">
        <w:t xml:space="preserve"> pracovních dnů. 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9872A8">
        <w:t>V případě, že kupující nesdělí při vytknutí vady či vad zboží v rámci záruční doby prodávajícímu jiný požadavek</w:t>
      </w:r>
      <w:r>
        <w:t xml:space="preserve"> a odstranění vady nebude možné realizovat ve lhůtách dle čl. 9.</w:t>
      </w:r>
      <w:r w:rsidR="00B176D2">
        <w:t>3</w:t>
      </w:r>
      <w:r>
        <w:t xml:space="preserve"> této smlouvy</w:t>
      </w:r>
      <w:r w:rsidRPr="009872A8">
        <w:t>, je prodávající povinen nejpozději do 15 dnů</w:t>
      </w:r>
      <w:r>
        <w:t xml:space="preserve"> poté, co mu budou vady oznámeny, </w:t>
      </w:r>
      <w:r w:rsidRPr="009872A8">
        <w:t>provést výměnu zboží na své náklady</w:t>
      </w:r>
      <w:r>
        <w:t>,</w:t>
      </w:r>
      <w:r w:rsidRPr="009872A8">
        <w:t xml:space="preserve"> </w:t>
      </w:r>
      <w:r>
        <w:t xml:space="preserve">přičemž pokud tak prodávající </w:t>
      </w:r>
      <w:r w:rsidRPr="009872A8">
        <w:t xml:space="preserve">neučiní, má kupující právo požadovat přiměřenou slevu z kupní ceny za zboží či od této smlouvy odstoupit. </w:t>
      </w:r>
    </w:p>
    <w:p w:rsidR="00C87BB1" w:rsidRPr="009872A8" w:rsidRDefault="00C87BB1">
      <w:pPr>
        <w:pStyle w:val="rove2"/>
        <w:tabs>
          <w:tab w:val="clear" w:pos="792"/>
        </w:tabs>
        <w:ind w:left="709" w:hanging="709"/>
      </w:pPr>
      <w:r>
        <w:lastRenderedPageBreak/>
        <w:t>Prodávající je povinen zajistit místo záručního a pozáručního servisu do vzdálenosti 30km od sídla kupujícího. V případě určení místa servisu ve větší vzdálenosti (vzdáleností se rozumí délka trasy dle GPS), hradí prodávající dopravu nad 30km.</w:t>
      </w:r>
    </w:p>
    <w:p w:rsidR="002E5F11" w:rsidRPr="00E26162" w:rsidRDefault="002E5F11">
      <w:pPr>
        <w:pStyle w:val="rove1"/>
        <w:ind w:left="709" w:hanging="709"/>
      </w:pPr>
      <w:r w:rsidRPr="00E26162">
        <w:t>Doručování</w:t>
      </w:r>
    </w:p>
    <w:p w:rsidR="002E5F11" w:rsidRPr="00C47A85" w:rsidRDefault="002E5F11" w:rsidP="006A7D4E">
      <w:pPr>
        <w:pStyle w:val="rove2"/>
        <w:ind w:left="709" w:hanging="709"/>
      </w:pPr>
      <w:r w:rsidRPr="00E26162">
        <w:t>Veškerá korespondence mezi smluvními stranami bude doručována do sídla označeného v záhlaví smlouvy k</w:t>
      </w:r>
      <w:r w:rsidR="006A7D4E">
        <w:t> </w:t>
      </w:r>
      <w:r w:rsidRPr="00E26162">
        <w:t>rukám</w:t>
      </w:r>
      <w:r w:rsidR="006A7D4E">
        <w:t xml:space="preserve"> kontaktních osob uvedených v záhlaví této smlouvy. </w:t>
      </w:r>
    </w:p>
    <w:p w:rsidR="002E5F11" w:rsidRPr="00262097" w:rsidRDefault="002E5F11">
      <w:pPr>
        <w:pStyle w:val="rove2"/>
        <w:tabs>
          <w:tab w:val="clear" w:pos="792"/>
        </w:tabs>
        <w:ind w:left="709" w:hanging="709"/>
      </w:pPr>
      <w:r w:rsidRPr="00262097">
        <w:t>Změna sídla, popř. změna kontaktní osoby uvedené v čl. 10.1 této smlouvy bude oznámena vždy s předstihem.</w:t>
      </w:r>
    </w:p>
    <w:p w:rsidR="002E5F11" w:rsidRPr="00262097" w:rsidRDefault="002E5F11">
      <w:pPr>
        <w:pStyle w:val="rove2"/>
        <w:tabs>
          <w:tab w:val="clear" w:pos="792"/>
        </w:tabs>
        <w:ind w:left="709" w:hanging="709"/>
      </w:pPr>
      <w:r w:rsidRPr="00262097">
        <w:t>Smluvní strany si sjednávají, že veškerá oznámení dle této smlouvy, zejména reklamace, upozornění na porušení smlouvy a odstoupení od smlouvy, musí mít písemnou formu a musí být zaslány poštou jako zásilky doporučené</w:t>
      </w:r>
      <w:r w:rsidR="009A6105">
        <w:t xml:space="preserve"> nebo datovou schránkou</w:t>
      </w:r>
      <w:r w:rsidRPr="00262097">
        <w:t xml:space="preserve"> a současně také formou elektronickou k rukám kontaktní os</w:t>
      </w:r>
      <w:r>
        <w:t xml:space="preserve">oby dle čl. </w:t>
      </w:r>
      <w:proofErr w:type="gramStart"/>
      <w:r>
        <w:t>10.1. této</w:t>
      </w:r>
      <w:proofErr w:type="gramEnd"/>
      <w:r>
        <w:t xml:space="preserve"> smlouvy.</w:t>
      </w:r>
    </w:p>
    <w:p w:rsidR="002E5F11" w:rsidRPr="003C537D" w:rsidRDefault="002E5F11">
      <w:pPr>
        <w:pStyle w:val="rove1"/>
        <w:keepNext/>
        <w:ind w:left="357" w:hanging="357"/>
      </w:pPr>
      <w:r w:rsidRPr="003C537D">
        <w:t>Ukončení smlouvy odstoupením</w:t>
      </w:r>
    </w:p>
    <w:p w:rsidR="002E5F11" w:rsidRPr="003C537D" w:rsidRDefault="002E5F11">
      <w:pPr>
        <w:pStyle w:val="rove2"/>
        <w:tabs>
          <w:tab w:val="clear" w:pos="792"/>
        </w:tabs>
        <w:ind w:left="709" w:hanging="709"/>
      </w:pPr>
      <w:r w:rsidRPr="003C537D">
        <w:t xml:space="preserve">Od této smlouvy může kterákoli strana odstoupit, pokud dojde k podstatnému porušení smluvních povinností stranou </w:t>
      </w:r>
      <w:r>
        <w:t xml:space="preserve">druhou nebo v případě, že dojde k nepodstatnému porušení smluvních povinností a prodlévající strana nesplní svoji povinnost ani v dodatečně stanovené přiměřené lhůtě. </w:t>
      </w:r>
      <w:r w:rsidRPr="002C20BF">
        <w:t>Účinky</w:t>
      </w:r>
      <w:r w:rsidRPr="003C537D">
        <w:t xml:space="preserve"> odstoupení od této smlouvy nastanou dnem, kdy bude písemné odstoupení strany odstupující druhé straně doručeno.</w:t>
      </w:r>
    </w:p>
    <w:p w:rsidR="002E5F11" w:rsidRPr="003C537D" w:rsidRDefault="002E5F11">
      <w:pPr>
        <w:pStyle w:val="rove2"/>
        <w:tabs>
          <w:tab w:val="clear" w:pos="792"/>
        </w:tabs>
        <w:ind w:left="709" w:hanging="709"/>
      </w:pPr>
      <w:r w:rsidRPr="003C537D">
        <w:t>Smluvní strany výslovně sjednávají, že za podstatné porušení této smlouvy ve smyslu §</w:t>
      </w:r>
      <w:r w:rsidR="006A7D4E">
        <w:t> </w:t>
      </w:r>
      <w:r>
        <w:t>1977 a §</w:t>
      </w:r>
      <w:r w:rsidR="006A7D4E">
        <w:t> </w:t>
      </w:r>
      <w:r>
        <w:t>2106</w:t>
      </w:r>
      <w:r w:rsidRPr="003C537D">
        <w:t xml:space="preserve"> </w:t>
      </w:r>
      <w:r>
        <w:t>občanského zákoníku</w:t>
      </w:r>
      <w:r w:rsidRPr="003C537D">
        <w:t xml:space="preserve"> se považuje:</w:t>
      </w:r>
    </w:p>
    <w:p w:rsidR="002E5F11" w:rsidRPr="003C537D" w:rsidRDefault="002E5F11">
      <w:pPr>
        <w:pStyle w:val="rove2"/>
        <w:numPr>
          <w:ilvl w:val="0"/>
          <w:numId w:val="2"/>
        </w:numPr>
        <w:tabs>
          <w:tab w:val="clear" w:pos="1068"/>
        </w:tabs>
        <w:ind w:left="1080"/>
      </w:pPr>
      <w:r w:rsidRPr="003C537D">
        <w:t>dodání zboží s nevyhovujícími technickými parametry požadovanými prodávajícím dle čl. 2.</w:t>
      </w:r>
      <w:r>
        <w:t>2</w:t>
      </w:r>
      <w:r w:rsidRPr="003C537D">
        <w:t xml:space="preserve"> této smlouvy</w:t>
      </w:r>
    </w:p>
    <w:p w:rsidR="002E5F11" w:rsidRPr="002C20BF" w:rsidRDefault="002E5F11">
      <w:pPr>
        <w:pStyle w:val="rove2"/>
        <w:numPr>
          <w:ilvl w:val="0"/>
          <w:numId w:val="2"/>
        </w:numPr>
        <w:tabs>
          <w:tab w:val="clear" w:pos="1068"/>
        </w:tabs>
        <w:ind w:left="1080"/>
      </w:pPr>
      <w:r w:rsidRPr="002C20BF">
        <w:t>prodlení s termínem dodání delším než 15 dní</w:t>
      </w:r>
    </w:p>
    <w:p w:rsidR="002E5F11" w:rsidRDefault="002E5F11">
      <w:pPr>
        <w:pStyle w:val="rove2"/>
        <w:numPr>
          <w:ilvl w:val="0"/>
          <w:numId w:val="2"/>
        </w:numPr>
        <w:tabs>
          <w:tab w:val="clear" w:pos="1068"/>
        </w:tabs>
        <w:ind w:left="1080"/>
      </w:pPr>
      <w:r>
        <w:t>nepravdivost prohlášení prodávajícího dle čl. 8.5 nebo čl. 8.6 této smlouvy</w:t>
      </w:r>
    </w:p>
    <w:p w:rsidR="002E5F11" w:rsidRDefault="002E5F11">
      <w:pPr>
        <w:pStyle w:val="rove2"/>
        <w:numPr>
          <w:ilvl w:val="0"/>
          <w:numId w:val="2"/>
        </w:numPr>
        <w:tabs>
          <w:tab w:val="clear" w:pos="1068"/>
        </w:tabs>
        <w:ind w:left="1080"/>
      </w:pPr>
      <w:r>
        <w:t>opakované prodlení s odstraněním vad dle čl. 9.4 této smlouvy</w:t>
      </w:r>
    </w:p>
    <w:p w:rsidR="002E5F11" w:rsidRDefault="002E5F11">
      <w:pPr>
        <w:pStyle w:val="rove2"/>
        <w:numPr>
          <w:ilvl w:val="0"/>
          <w:numId w:val="2"/>
        </w:numPr>
        <w:tabs>
          <w:tab w:val="clear" w:pos="1068"/>
        </w:tabs>
        <w:ind w:left="1080"/>
      </w:pPr>
      <w:r>
        <w:t>prodlení s provedením výměny zboží delším než 30 dní ode dne oznámení neodstranitelné vady anebo vady, která se vyskytla na zboží opakovaně</w:t>
      </w:r>
    </w:p>
    <w:p w:rsidR="002E5F11" w:rsidRDefault="002E5F11">
      <w:pPr>
        <w:pStyle w:val="rove2"/>
        <w:numPr>
          <w:ilvl w:val="0"/>
          <w:numId w:val="2"/>
        </w:numPr>
        <w:tabs>
          <w:tab w:val="clear" w:pos="1068"/>
        </w:tabs>
        <w:ind w:left="1080"/>
      </w:pPr>
      <w:r>
        <w:t>prodlení s úhradou oprávněně vyúčtované kupní ceny delším než 15 pracovních dní</w:t>
      </w:r>
    </w:p>
    <w:p w:rsidR="002E5F11" w:rsidRDefault="002E5F11">
      <w:pPr>
        <w:pStyle w:val="rove2"/>
        <w:numPr>
          <w:ilvl w:val="0"/>
          <w:numId w:val="2"/>
        </w:numPr>
        <w:tabs>
          <w:tab w:val="clear" w:pos="1068"/>
        </w:tabs>
        <w:ind w:left="1080"/>
      </w:pPr>
      <w:r w:rsidRPr="003C537D">
        <w:t>zahájení insolvenčního řízení u prodávajícího nebo kupujícího</w:t>
      </w:r>
    </w:p>
    <w:p w:rsidR="002E5F11" w:rsidRDefault="002E5F11">
      <w:pPr>
        <w:pStyle w:val="rove2"/>
        <w:numPr>
          <w:ilvl w:val="0"/>
          <w:numId w:val="0"/>
        </w:numPr>
        <w:ind w:left="709" w:hanging="709"/>
      </w:pPr>
    </w:p>
    <w:p w:rsidR="002E5F11" w:rsidRPr="00D12267" w:rsidRDefault="002E5F11">
      <w:pPr>
        <w:pStyle w:val="rove2"/>
        <w:tabs>
          <w:tab w:val="clear" w:pos="792"/>
        </w:tabs>
        <w:ind w:left="709" w:hanging="709"/>
      </w:pPr>
      <w:r w:rsidRPr="00D12267">
        <w:t xml:space="preserve">Odstoupením od smlouvy zanikají všechna práva a povinnosti stran ze smlouvy. Odstoupení od smlouvy se však nedotýká nároku na náhradu škody vzniklé porušením smlouvy. </w:t>
      </w:r>
    </w:p>
    <w:p w:rsidR="002E5F11" w:rsidRPr="009F3E29" w:rsidRDefault="002E5F11">
      <w:pPr>
        <w:pStyle w:val="rove1"/>
        <w:keepNext/>
        <w:ind w:left="357" w:hanging="357"/>
      </w:pPr>
      <w:r w:rsidRPr="009F3E29">
        <w:lastRenderedPageBreak/>
        <w:t xml:space="preserve">Smluvní </w:t>
      </w:r>
      <w:r w:rsidRPr="008129B7">
        <w:t>pokuty</w:t>
      </w:r>
    </w:p>
    <w:p w:rsidR="00682CB2" w:rsidRPr="002028A3" w:rsidRDefault="002E5F11" w:rsidP="00682CB2">
      <w:pPr>
        <w:pStyle w:val="rove2"/>
        <w:tabs>
          <w:tab w:val="clear" w:pos="792"/>
        </w:tabs>
        <w:ind w:left="709" w:hanging="709"/>
      </w:pPr>
      <w:r w:rsidRPr="009F3E29">
        <w:t xml:space="preserve">V případě prodlení prodávajícího se splněním termínu dle čl. 4.1 této smlouvy delším než </w:t>
      </w:r>
      <w:r w:rsidRPr="002028A3">
        <w:t>jeden pracovní den</w:t>
      </w:r>
      <w:r w:rsidR="002028A3" w:rsidRPr="002028A3">
        <w:t xml:space="preserve"> (do </w:t>
      </w:r>
      <w:proofErr w:type="gramStart"/>
      <w:r w:rsidR="002028A3" w:rsidRPr="002028A3">
        <w:t>5ti</w:t>
      </w:r>
      <w:proofErr w:type="gramEnd"/>
      <w:r w:rsidR="002028A3" w:rsidRPr="002028A3">
        <w:t xml:space="preserve"> pracovních dní)</w:t>
      </w:r>
      <w:r w:rsidRPr="002028A3">
        <w:t xml:space="preserve">, má kupující nárok na smluvní pokutu </w:t>
      </w:r>
      <w:r w:rsidR="002028A3" w:rsidRPr="002028A3">
        <w:t>z</w:t>
      </w:r>
      <w:r w:rsidR="00682CB2" w:rsidRPr="002028A3">
        <w:t>a každý den prodlení 10.000,- Kč max. do 50.000,- Kč</w:t>
      </w:r>
    </w:p>
    <w:p w:rsidR="002E5F11" w:rsidRPr="002028A3" w:rsidRDefault="002E5F11">
      <w:pPr>
        <w:pStyle w:val="rove2"/>
        <w:tabs>
          <w:tab w:val="clear" w:pos="792"/>
        </w:tabs>
        <w:ind w:left="709" w:hanging="709"/>
      </w:pPr>
      <w:r w:rsidRPr="002028A3">
        <w:t xml:space="preserve">V případě prodlení prodávajícího se splněním termínu dodání dle čl. 4.1 této smlouvy delším než 5 pracovních dnů, má kupující nárok na smluvní pokutu </w:t>
      </w:r>
      <w:r w:rsidR="00DB4831" w:rsidRPr="002028A3">
        <w:t xml:space="preserve">50 000,-Kč + </w:t>
      </w:r>
      <w:r w:rsidRPr="002028A3">
        <w:t>0,1 % z kupní ceny za každý den prodlení</w:t>
      </w:r>
      <w:r w:rsidR="00DB4831" w:rsidRPr="002028A3">
        <w:t xml:space="preserve"> počínaje 6. dnem</w:t>
      </w:r>
      <w:r w:rsidRPr="002028A3">
        <w:t>.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FD1DBA">
        <w:t>V případě</w:t>
      </w:r>
      <w:r w:rsidRPr="006823E3">
        <w:t xml:space="preserve"> prodlení </w:t>
      </w:r>
      <w:r>
        <w:t xml:space="preserve">kupujícího </w:t>
      </w:r>
      <w:r w:rsidRPr="006823E3">
        <w:t xml:space="preserve">s úhradou </w:t>
      </w:r>
      <w:r>
        <w:t xml:space="preserve">řádně vystavené a doručené </w:t>
      </w:r>
      <w:r w:rsidR="00B20F66">
        <w:t>faktury</w:t>
      </w:r>
      <w:r w:rsidRPr="006823E3">
        <w:t xml:space="preserve"> zaplatí </w:t>
      </w:r>
      <w:r>
        <w:t>kupující</w:t>
      </w:r>
      <w:r w:rsidRPr="006823E3">
        <w:t xml:space="preserve"> </w:t>
      </w:r>
      <w:r>
        <w:t xml:space="preserve">prodávajícímu smluvní pokutu ve výši 0,05 % </w:t>
      </w:r>
      <w:r w:rsidRPr="006823E3">
        <w:t>z dlužné částky za každý den prodlení</w:t>
      </w:r>
      <w:r>
        <w:t>.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>
        <w:t>Smluvní strany si sjednávají, že ustanoveními o smluvních pokutách nejsou dotčeny jejich nároky na náhrady škody převyšující výši smluvní pokuty.</w:t>
      </w:r>
    </w:p>
    <w:p w:rsidR="002E5F11" w:rsidRPr="008E03E3" w:rsidRDefault="002E5F11">
      <w:pPr>
        <w:pStyle w:val="rove1"/>
        <w:ind w:left="709" w:hanging="709"/>
      </w:pPr>
      <w:r w:rsidRPr="008E03E3">
        <w:t>Odpovědnost za škodu</w:t>
      </w:r>
    </w:p>
    <w:p w:rsidR="002E5F11" w:rsidRDefault="002E5F11">
      <w:pPr>
        <w:pStyle w:val="rove2"/>
        <w:tabs>
          <w:tab w:val="clear" w:pos="792"/>
        </w:tabs>
        <w:spacing w:after="240"/>
        <w:ind w:left="709" w:hanging="709"/>
      </w:pPr>
      <w:r w:rsidRPr="008E03E3">
        <w:t>Pokud porušením povinností prodávajícího, vyplývajících z obecně závazných právních předpisů či z této smlouvy</w:t>
      </w:r>
      <w:r w:rsidR="00DB218C">
        <w:t>,</w:t>
      </w:r>
      <w:r w:rsidRPr="008E03E3">
        <w:t xml:space="preserve"> vznikne kupujícímu či třetím osobám v důsledku použití či užívání zboží jakákoliv škoda, odpovídá za ni prodávající, a to bez ohledu na zavinění a bez </w:t>
      </w:r>
      <w:r w:rsidRPr="002400BF">
        <w:t>ohledu na případnou existenci okolností vylučujících odpovědnost ve smyslu ustanovení §</w:t>
      </w:r>
      <w:r w:rsidR="00DB218C">
        <w:t> </w:t>
      </w:r>
      <w:r>
        <w:t>2913</w:t>
      </w:r>
      <w:r w:rsidRPr="002400BF">
        <w:t xml:space="preserve"> o</w:t>
      </w:r>
      <w:r>
        <w:t>dst. 2</w:t>
      </w:r>
      <w:r w:rsidRPr="002400BF">
        <w:t xml:space="preserve"> </w:t>
      </w:r>
      <w:r>
        <w:t>občanského zákoníku</w:t>
      </w:r>
      <w:r w:rsidRPr="002400BF">
        <w:t xml:space="preserve">. </w:t>
      </w:r>
    </w:p>
    <w:p w:rsidR="002E5F11" w:rsidRPr="009F3E29" w:rsidRDefault="002E5F11">
      <w:pPr>
        <w:pStyle w:val="rove2"/>
        <w:tabs>
          <w:tab w:val="clear" w:pos="792"/>
        </w:tabs>
        <w:ind w:left="709" w:hanging="709"/>
      </w:pPr>
      <w:r>
        <w:t>Smluvní strany se dohodly na tom, že</w:t>
      </w:r>
      <w:r w:rsidRPr="009F3E29">
        <w:t xml:space="preserve"> </w:t>
      </w:r>
      <w:r>
        <w:t xml:space="preserve">v případě porušení povinnosti kupujícího zboží převzít a zaplatit, se prodávající vzdává nároku </w:t>
      </w:r>
      <w:r w:rsidRPr="009F3E29">
        <w:t>na náhradu škody.</w:t>
      </w:r>
    </w:p>
    <w:p w:rsidR="002E5F11" w:rsidRPr="008E03E3" w:rsidRDefault="002E5F11">
      <w:pPr>
        <w:pStyle w:val="rove1"/>
        <w:ind w:left="709" w:hanging="709"/>
      </w:pPr>
      <w:r w:rsidRPr="008E03E3">
        <w:t>Závěrečná ustanovení</w:t>
      </w:r>
    </w:p>
    <w:p w:rsidR="002E5F11" w:rsidRDefault="002E5F11">
      <w:pPr>
        <w:pStyle w:val="rove2"/>
        <w:tabs>
          <w:tab w:val="clear" w:pos="792"/>
        </w:tabs>
        <w:ind w:left="709" w:hanging="709"/>
      </w:pPr>
      <w:r w:rsidRPr="00E26162">
        <w:t>Smlouva se řídí právním řádem ČR, zejména zák</w:t>
      </w:r>
      <w:r w:rsidR="00DB218C">
        <w:t>onem</w:t>
      </w:r>
      <w:r w:rsidRPr="00E26162">
        <w:t xml:space="preserve"> č.</w:t>
      </w:r>
      <w:r w:rsidR="00DB218C">
        <w:t> </w:t>
      </w:r>
      <w:r>
        <w:t>89</w:t>
      </w:r>
      <w:r w:rsidRPr="00E26162">
        <w:t>/</w:t>
      </w:r>
      <w:r>
        <w:t>2012</w:t>
      </w:r>
      <w:r w:rsidR="00DB218C">
        <w:t> </w:t>
      </w:r>
      <w:r w:rsidRPr="00E26162">
        <w:t xml:space="preserve">Sb., </w:t>
      </w:r>
      <w:r>
        <w:t xml:space="preserve">občanským zákoníkem, </w:t>
      </w:r>
      <w:r w:rsidRPr="00E26162">
        <w:t>v </w:t>
      </w:r>
      <w:r w:rsidRPr="002C0195">
        <w:t>platném znění.</w:t>
      </w:r>
    </w:p>
    <w:p w:rsidR="002E5F11" w:rsidRDefault="002E5F11" w:rsidP="00F169FA">
      <w:pPr>
        <w:pStyle w:val="rove2"/>
        <w:tabs>
          <w:tab w:val="clear" w:pos="792"/>
        </w:tabs>
        <w:ind w:left="709" w:hanging="709"/>
      </w:pPr>
      <w:r>
        <w:t>Prodávající</w:t>
      </w:r>
      <w:r w:rsidRPr="00571D10">
        <w:t xml:space="preserve"> bere na vědomí, že </w:t>
      </w:r>
      <w:r>
        <w:t>kupující</w:t>
      </w:r>
      <w:r w:rsidRPr="00571D10">
        <w:t xml:space="preserve"> má povinnost tuto smlouvu zveřejnit v souladu s</w:t>
      </w:r>
      <w:r w:rsidR="006A7D4E">
        <w:t> u</w:t>
      </w:r>
      <w:r w:rsidRPr="00571D10">
        <w:t>st</w:t>
      </w:r>
      <w:r w:rsidR="006A7D4E">
        <w:t xml:space="preserve">anovením </w:t>
      </w:r>
      <w:r w:rsidRPr="00571D10">
        <w:t>§</w:t>
      </w:r>
      <w:r w:rsidR="006A7D4E">
        <w:t> </w:t>
      </w:r>
      <w:r w:rsidRPr="00571D10">
        <w:t>147a zákona č.</w:t>
      </w:r>
      <w:r w:rsidR="006A7D4E">
        <w:t> </w:t>
      </w:r>
      <w:r w:rsidRPr="00571D10">
        <w:t xml:space="preserve">137/2006 Sb., o veřejných zakázkách, v platném znění. </w:t>
      </w:r>
      <w:r>
        <w:t>Prodávající</w:t>
      </w:r>
      <w:r w:rsidR="006A7D4E">
        <w:t xml:space="preserve"> </w:t>
      </w:r>
      <w:r>
        <w:t xml:space="preserve">souhlasí s tím, že tato smlouva bude veřejně přístupná.  </w:t>
      </w:r>
    </w:p>
    <w:p w:rsidR="002E5F11" w:rsidRPr="002C0195" w:rsidRDefault="002E5F11">
      <w:pPr>
        <w:pStyle w:val="rove2"/>
        <w:tabs>
          <w:tab w:val="clear" w:pos="792"/>
        </w:tabs>
        <w:ind w:left="709" w:hanging="709"/>
      </w:pPr>
      <w:r w:rsidRPr="002C0195">
        <w:t>Tuto smlouvu lze měnit či doplňovat pouze písemnými dodatky, očíslovanými a</w:t>
      </w:r>
      <w:r w:rsidR="00DB218C">
        <w:t> </w:t>
      </w:r>
      <w:r w:rsidRPr="002C0195">
        <w:t>podepsanými oběma stranami. Všechny v této smlouvě uvedené přílohy jsou její nedílnou součástí.</w:t>
      </w:r>
    </w:p>
    <w:p w:rsidR="002E5F11" w:rsidRPr="002C0195" w:rsidRDefault="002E5F11">
      <w:pPr>
        <w:pStyle w:val="rove2"/>
        <w:tabs>
          <w:tab w:val="clear" w:pos="792"/>
        </w:tabs>
        <w:ind w:left="709" w:hanging="709"/>
      </w:pPr>
      <w:r w:rsidRPr="002C0195">
        <w:t>Nastanou-li u některé ze stran okolnosti bránící řádnému plnění této smlouvy, je povinna to bez zbytečného odkladu oznámit druhé straně.</w:t>
      </w:r>
    </w:p>
    <w:p w:rsidR="002E5F11" w:rsidRPr="00BC2824" w:rsidRDefault="002E5F11">
      <w:pPr>
        <w:pStyle w:val="rove2"/>
        <w:tabs>
          <w:tab w:val="clear" w:pos="792"/>
        </w:tabs>
        <w:ind w:left="709" w:hanging="709"/>
      </w:pPr>
      <w:r w:rsidRPr="002C0195">
        <w:t xml:space="preserve">Tato smlouva je vyhotovena ve 4 vyhotoveních v jazyce českém. Kupující obdrží dvě vyhotovení a </w:t>
      </w:r>
      <w:r w:rsidRPr="00BC2824">
        <w:t>prodávající obdrží rovněž dvě vyhotovení smlouvy.</w:t>
      </w:r>
    </w:p>
    <w:p w:rsidR="002E5F11" w:rsidRPr="00994CA2" w:rsidRDefault="002E5F11">
      <w:pPr>
        <w:pStyle w:val="rove2"/>
        <w:tabs>
          <w:tab w:val="clear" w:pos="792"/>
        </w:tabs>
        <w:ind w:left="709" w:hanging="709"/>
      </w:pPr>
      <w:r w:rsidRPr="00BC2824">
        <w:t xml:space="preserve">Veškeré dohody učiněné před podpisem této smlouvy a v jejím obsahu nezahrnuté, pozbývají dnem podpisu smlouvy platnosti bez ohledu na funkční postavení osob, které předsmluvní </w:t>
      </w:r>
      <w:r w:rsidRPr="00994CA2">
        <w:t>ujednání učinily.</w:t>
      </w:r>
    </w:p>
    <w:p w:rsidR="002E5F11" w:rsidRPr="00994CA2" w:rsidRDefault="002E5F11">
      <w:pPr>
        <w:pStyle w:val="rove2"/>
        <w:tabs>
          <w:tab w:val="clear" w:pos="792"/>
        </w:tabs>
        <w:ind w:left="709" w:hanging="709"/>
      </w:pPr>
      <w:r w:rsidRPr="00994CA2">
        <w:t xml:space="preserve">Strany si sjednávají pro případ jakéhokoli sporu, vzniklého v budoucnu mezi nimi, či jejich právními nástupci, a to ze všech právních vztahů, plynoucích z této smlouvy či práv a </w:t>
      </w:r>
      <w:r w:rsidRPr="00994CA2">
        <w:lastRenderedPageBreak/>
        <w:t xml:space="preserve">povinností, které mají trvat i po skončení jejího trvání či jejím zániku, že spory budou rozhodovat české soudy podle právního řádu České republiky. </w:t>
      </w:r>
    </w:p>
    <w:p w:rsidR="002E5F11" w:rsidRPr="00994CA2" w:rsidRDefault="002E5F11">
      <w:pPr>
        <w:pStyle w:val="rove2"/>
        <w:tabs>
          <w:tab w:val="clear" w:pos="792"/>
        </w:tabs>
        <w:ind w:left="709" w:hanging="709"/>
      </w:pPr>
      <w:r w:rsidRPr="00994CA2"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2E5F11" w:rsidRPr="008129B7" w:rsidRDefault="002E5F11">
      <w:pPr>
        <w:pStyle w:val="rove1"/>
      </w:pPr>
      <w:r w:rsidRPr="008129B7">
        <w:t>Přílohy</w:t>
      </w:r>
    </w:p>
    <w:p w:rsidR="00B72EB1" w:rsidRDefault="006A7D4E" w:rsidP="00B72EB1">
      <w:pPr>
        <w:pStyle w:val="rove2"/>
        <w:ind w:hanging="792"/>
      </w:pPr>
      <w:r>
        <w:t>Z</w:t>
      </w:r>
      <w:r w:rsidR="002E5F11" w:rsidRPr="008129B7">
        <w:t>áruční a servisní podmínky</w:t>
      </w:r>
      <w:r w:rsidR="002E5F11">
        <w:t xml:space="preserve"> </w:t>
      </w:r>
    </w:p>
    <w:p w:rsidR="006D5A31" w:rsidRPr="008129B7" w:rsidRDefault="006D5A31" w:rsidP="00B72EB1">
      <w:pPr>
        <w:pStyle w:val="rove2"/>
        <w:ind w:hanging="792"/>
      </w:pPr>
      <w:r w:rsidRPr="006D5A31">
        <w:t>Technické parametry vozu</w:t>
      </w:r>
    </w:p>
    <w:p w:rsidR="002E5F11" w:rsidRDefault="002E5F11">
      <w:pPr>
        <w:pStyle w:val="Bezseznamu1"/>
      </w:pPr>
    </w:p>
    <w:p w:rsidR="002E5F11" w:rsidRPr="00F22652" w:rsidRDefault="002E5F11">
      <w:pPr>
        <w:pStyle w:val="Bezseznamu1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966"/>
        <w:gridCol w:w="4416"/>
      </w:tblGrid>
      <w:tr w:rsidR="002E5F11" w:rsidRPr="00F22652" w:rsidTr="002E5F11">
        <w:trPr>
          <w:jc w:val="center"/>
        </w:trPr>
        <w:tc>
          <w:tcPr>
            <w:tcW w:w="4390" w:type="dxa"/>
          </w:tcPr>
          <w:p w:rsidR="002E5F11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64B">
              <w:rPr>
                <w:rFonts w:ascii="Times New Roman" w:hAnsi="Times New Roman"/>
                <w:sz w:val="24"/>
                <w:szCs w:val="24"/>
                <w:highlight w:val="yellow"/>
              </w:rPr>
              <w:t>V................ dne</w:t>
            </w:r>
            <w:proofErr w:type="gramEnd"/>
            <w:r w:rsidRPr="00D0464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....................</w:t>
            </w:r>
          </w:p>
          <w:p w:rsidR="00D0464B" w:rsidRPr="00D0464B" w:rsidRDefault="00D0464B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2E5F11" w:rsidRPr="00D0464B" w:rsidRDefault="002E5F11" w:rsidP="006D5A3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  <w:r w:rsidRPr="00D0464B">
              <w:rPr>
                <w:rFonts w:ascii="Times New Roman" w:hAnsi="Times New Roman"/>
                <w:sz w:val="24"/>
                <w:szCs w:val="24"/>
              </w:rPr>
              <w:t>V P</w:t>
            </w:r>
            <w:r w:rsidR="006D5A31">
              <w:rPr>
                <w:rFonts w:ascii="Times New Roman" w:hAnsi="Times New Roman"/>
                <w:sz w:val="24"/>
                <w:szCs w:val="24"/>
              </w:rPr>
              <w:t xml:space="preserve">raze </w:t>
            </w:r>
            <w:r w:rsidRPr="00D0464B">
              <w:rPr>
                <w:rFonts w:ascii="Times New Roman" w:hAnsi="Times New Roman"/>
                <w:sz w:val="24"/>
                <w:szCs w:val="24"/>
              </w:rPr>
              <w:t xml:space="preserve">dne </w:t>
            </w:r>
          </w:p>
        </w:tc>
      </w:tr>
      <w:tr w:rsidR="002E5F11" w:rsidRPr="00F22652" w:rsidTr="002E5F11">
        <w:trPr>
          <w:jc w:val="center"/>
        </w:trPr>
        <w:tc>
          <w:tcPr>
            <w:tcW w:w="4390" w:type="dxa"/>
            <w:tcBorders>
              <w:bottom w:val="dashed" w:sz="4" w:space="0" w:color="auto"/>
            </w:tcBorders>
          </w:tcPr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</w:p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  <w:r w:rsidRPr="00D0464B">
              <w:rPr>
                <w:rFonts w:ascii="Times New Roman" w:hAnsi="Times New Roman"/>
                <w:sz w:val="24"/>
                <w:szCs w:val="24"/>
              </w:rPr>
              <w:t>Prodávající:</w:t>
            </w:r>
          </w:p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</w:p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</w:p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</w:p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</w:p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  <w:r w:rsidRPr="00D0464B">
              <w:rPr>
                <w:rFonts w:ascii="Times New Roman" w:hAnsi="Times New Roman"/>
                <w:sz w:val="24"/>
                <w:szCs w:val="24"/>
              </w:rPr>
              <w:t>Kupující:</w:t>
            </w:r>
          </w:p>
        </w:tc>
      </w:tr>
      <w:tr w:rsidR="002E5F11" w:rsidRPr="00F22652" w:rsidTr="002E5F11">
        <w:trPr>
          <w:jc w:val="center"/>
        </w:trPr>
        <w:tc>
          <w:tcPr>
            <w:tcW w:w="4390" w:type="dxa"/>
            <w:tcBorders>
              <w:top w:val="dashed" w:sz="4" w:space="0" w:color="auto"/>
            </w:tcBorders>
          </w:tcPr>
          <w:p w:rsidR="002E5F11" w:rsidRPr="00D0464B" w:rsidRDefault="002E5F11">
            <w:pPr>
              <w:pStyle w:val="Bezseznamu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64B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podpis způsobem uvedeným ve výpisu z obchodního rejstříku</w:t>
            </w:r>
          </w:p>
        </w:tc>
        <w:tc>
          <w:tcPr>
            <w:tcW w:w="966" w:type="dxa"/>
          </w:tcPr>
          <w:p w:rsidR="002E5F11" w:rsidRPr="00D0464B" w:rsidRDefault="002E5F11">
            <w:pPr>
              <w:pStyle w:val="Bezseznamu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dashed" w:sz="4" w:space="0" w:color="auto"/>
            </w:tcBorders>
          </w:tcPr>
          <w:p w:rsidR="002E5F11" w:rsidRDefault="006D5A31">
            <w:pPr>
              <w:pStyle w:val="Bezseznamu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Hana Moravcová</w:t>
            </w:r>
          </w:p>
          <w:p w:rsidR="006D5A31" w:rsidRPr="00D0464B" w:rsidRDefault="006D5A31">
            <w:pPr>
              <w:pStyle w:val="Bezseznamu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Starostka </w:t>
            </w:r>
          </w:p>
        </w:tc>
      </w:tr>
    </w:tbl>
    <w:p w:rsidR="002E5F11" w:rsidRDefault="002E5F11">
      <w:pPr>
        <w:pStyle w:val="rove2"/>
        <w:numPr>
          <w:ilvl w:val="0"/>
          <w:numId w:val="0"/>
        </w:numPr>
        <w:spacing w:after="0"/>
        <w:ind w:left="709" w:hanging="709"/>
      </w:pPr>
    </w:p>
    <w:p w:rsidR="002E5F11" w:rsidRDefault="002E5F11">
      <w:pPr>
        <w:pStyle w:val="rove2"/>
        <w:numPr>
          <w:ilvl w:val="0"/>
          <w:numId w:val="0"/>
        </w:numPr>
        <w:spacing w:after="0"/>
        <w:ind w:left="709" w:hanging="709"/>
      </w:pPr>
    </w:p>
    <w:p w:rsidR="002E5F11" w:rsidRPr="0016429E" w:rsidRDefault="002E5F11">
      <w:pPr>
        <w:pStyle w:val="Bezseznamu1"/>
      </w:pPr>
    </w:p>
    <w:sectPr w:rsidR="002E5F11" w:rsidRPr="0016429E" w:rsidSect="008D7432">
      <w:footerReference w:type="default" r:id="rId9"/>
      <w:footerReference w:type="first" r:id="rId10"/>
      <w:pgSz w:w="12240" w:h="15840" w:code="1"/>
      <w:pgMar w:top="1304" w:right="1304" w:bottom="1304" w:left="130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1B" w:rsidRDefault="00112B1B">
      <w:pPr>
        <w:pStyle w:val="Bezseznamu1"/>
      </w:pPr>
      <w:r>
        <w:separator/>
      </w:r>
    </w:p>
  </w:endnote>
  <w:endnote w:type="continuationSeparator" w:id="0">
    <w:p w:rsidR="00112B1B" w:rsidRDefault="00112B1B">
      <w:pPr>
        <w:pStyle w:val="Bezseznamu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11" w:rsidRDefault="002E5F11">
    <w:pPr>
      <w:pStyle w:val="Zpat"/>
      <w:ind w:right="360"/>
      <w:jc w:val="center"/>
    </w:pPr>
    <w:r>
      <w:t xml:space="preserve">Strana </w:t>
    </w:r>
    <w:r w:rsidR="00CD594B">
      <w:fldChar w:fldCharType="begin"/>
    </w:r>
    <w:r w:rsidR="00CD594B">
      <w:instrText xml:space="preserve"> PAGE </w:instrText>
    </w:r>
    <w:r w:rsidR="00CD594B">
      <w:fldChar w:fldCharType="separate"/>
    </w:r>
    <w:r w:rsidR="00C927BA">
      <w:rPr>
        <w:noProof/>
      </w:rPr>
      <w:t>2</w:t>
    </w:r>
    <w:r w:rsidR="00CD594B">
      <w:rPr>
        <w:noProof/>
      </w:rPr>
      <w:fldChar w:fldCharType="end"/>
    </w:r>
    <w:r>
      <w:t xml:space="preserve"> (celkem </w:t>
    </w:r>
    <w:fldSimple w:instr=" NUMPAGES ">
      <w:r w:rsidR="00C927BA">
        <w:rPr>
          <w:noProof/>
        </w:rPr>
        <w:t>8</w:t>
      </w:r>
    </w:fldSimple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2" w:rsidRDefault="008D7432" w:rsidP="008D7432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927BA">
      <w:rPr>
        <w:noProof/>
      </w:rPr>
      <w:t>1</w:t>
    </w:r>
    <w:r>
      <w:rPr>
        <w:noProof/>
      </w:rPr>
      <w:fldChar w:fldCharType="end"/>
    </w:r>
    <w:r>
      <w:t xml:space="preserve"> (celkem </w:t>
    </w:r>
    <w:fldSimple w:instr=" NUMPAGES ">
      <w:r w:rsidR="00C927BA">
        <w:rPr>
          <w:noProof/>
        </w:rPr>
        <w:t>8</w:t>
      </w:r>
    </w:fldSimple>
    <w:r>
      <w:t>)</w:t>
    </w:r>
  </w:p>
  <w:p w:rsidR="008D7432" w:rsidRPr="008D7432" w:rsidRDefault="008D7432" w:rsidP="008D74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1B" w:rsidRDefault="00112B1B">
      <w:pPr>
        <w:pStyle w:val="Bezseznamu1"/>
      </w:pPr>
      <w:r>
        <w:separator/>
      </w:r>
    </w:p>
  </w:footnote>
  <w:footnote w:type="continuationSeparator" w:id="0">
    <w:p w:rsidR="00112B1B" w:rsidRDefault="00112B1B">
      <w:pPr>
        <w:pStyle w:val="Bezseznamu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12F1"/>
    <w:multiLevelType w:val="hybridMultilevel"/>
    <w:tmpl w:val="BC327E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9591F"/>
    <w:multiLevelType w:val="hybridMultilevel"/>
    <w:tmpl w:val="827E8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34DD"/>
    <w:multiLevelType w:val="hybridMultilevel"/>
    <w:tmpl w:val="65AAB0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57AB1"/>
    <w:multiLevelType w:val="hybridMultilevel"/>
    <w:tmpl w:val="494EAE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252B0"/>
    <w:multiLevelType w:val="hybridMultilevel"/>
    <w:tmpl w:val="BF603E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013C7"/>
    <w:multiLevelType w:val="hybridMultilevel"/>
    <w:tmpl w:val="C726881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8539E"/>
    <w:multiLevelType w:val="hybridMultilevel"/>
    <w:tmpl w:val="13DEAB2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E517E"/>
    <w:multiLevelType w:val="hybridMultilevel"/>
    <w:tmpl w:val="0F8E18BC"/>
    <w:lvl w:ilvl="0" w:tplc="0405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64B53E07"/>
    <w:multiLevelType w:val="hybridMultilevel"/>
    <w:tmpl w:val="CCCAF7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6866C8A"/>
    <w:multiLevelType w:val="hybridMultilevel"/>
    <w:tmpl w:val="99799375"/>
    <w:lvl w:ilvl="0" w:tplc="2FB2143E">
      <w:start w:val="29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BAC80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eastAsia="Courier New" w:hAnsi="Courier New" w:hint="default"/>
      </w:rPr>
    </w:lvl>
    <w:lvl w:ilvl="2" w:tplc="E74CEFE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eastAsia="Wingdings" w:hAnsi="Wingdings" w:hint="default"/>
      </w:rPr>
    </w:lvl>
    <w:lvl w:ilvl="3" w:tplc="07348F9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Symbol" w:hAnsi="Symbol" w:hint="default"/>
      </w:rPr>
    </w:lvl>
    <w:lvl w:ilvl="4" w:tplc="0C323B4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eastAsia="Courier New" w:hAnsi="Courier New" w:hint="default"/>
      </w:rPr>
    </w:lvl>
    <w:lvl w:ilvl="5" w:tplc="AF304E8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eastAsia="Wingdings" w:hAnsi="Wingdings" w:hint="default"/>
      </w:rPr>
    </w:lvl>
    <w:lvl w:ilvl="6" w:tplc="F664DCD8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Symbol" w:hAnsi="Symbol" w:hint="default"/>
      </w:rPr>
    </w:lvl>
    <w:lvl w:ilvl="7" w:tplc="F1D8AFD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eastAsia="Courier New" w:hAnsi="Courier New" w:hint="default"/>
      </w:rPr>
    </w:lvl>
    <w:lvl w:ilvl="8" w:tplc="E404F20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eastAsia="Wingdings" w:hAnsi="Wingdings" w:hint="default"/>
      </w:rPr>
    </w:lvl>
  </w:abstractNum>
  <w:abstractNum w:abstractNumId="12">
    <w:nsid w:val="69D85A6C"/>
    <w:multiLevelType w:val="hybridMultilevel"/>
    <w:tmpl w:val="4DD2D2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D3614"/>
    <w:multiLevelType w:val="hybridMultilevel"/>
    <w:tmpl w:val="898408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FE481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95"/>
    <w:rsid w:val="0000353F"/>
    <w:rsid w:val="0002670F"/>
    <w:rsid w:val="00033D96"/>
    <w:rsid w:val="00041678"/>
    <w:rsid w:val="00077CEF"/>
    <w:rsid w:val="000D25BD"/>
    <w:rsid w:val="00112B1B"/>
    <w:rsid w:val="001154B2"/>
    <w:rsid w:val="00140A57"/>
    <w:rsid w:val="001A6ABF"/>
    <w:rsid w:val="001E374B"/>
    <w:rsid w:val="001F0510"/>
    <w:rsid w:val="001F714B"/>
    <w:rsid w:val="002028A3"/>
    <w:rsid w:val="0022163A"/>
    <w:rsid w:val="00265B3D"/>
    <w:rsid w:val="002823E4"/>
    <w:rsid w:val="002B5FBD"/>
    <w:rsid w:val="002D11AA"/>
    <w:rsid w:val="002D6329"/>
    <w:rsid w:val="002E48C8"/>
    <w:rsid w:val="002E5F11"/>
    <w:rsid w:val="00350506"/>
    <w:rsid w:val="0035672C"/>
    <w:rsid w:val="00383627"/>
    <w:rsid w:val="003C181A"/>
    <w:rsid w:val="004010B1"/>
    <w:rsid w:val="00430F7B"/>
    <w:rsid w:val="00472F4D"/>
    <w:rsid w:val="004A5DCB"/>
    <w:rsid w:val="004B7741"/>
    <w:rsid w:val="00512416"/>
    <w:rsid w:val="00527CF1"/>
    <w:rsid w:val="00533E99"/>
    <w:rsid w:val="005568DC"/>
    <w:rsid w:val="00573841"/>
    <w:rsid w:val="005B1F68"/>
    <w:rsid w:val="005C1370"/>
    <w:rsid w:val="005E624D"/>
    <w:rsid w:val="00673C03"/>
    <w:rsid w:val="00682CB2"/>
    <w:rsid w:val="006A7D4E"/>
    <w:rsid w:val="006D5A31"/>
    <w:rsid w:val="006F4AD8"/>
    <w:rsid w:val="00746817"/>
    <w:rsid w:val="0075164D"/>
    <w:rsid w:val="00771F19"/>
    <w:rsid w:val="007B16C1"/>
    <w:rsid w:val="007B2804"/>
    <w:rsid w:val="007F3DB7"/>
    <w:rsid w:val="00820B6F"/>
    <w:rsid w:val="00851DC3"/>
    <w:rsid w:val="00863FD4"/>
    <w:rsid w:val="008778EC"/>
    <w:rsid w:val="008A6BF1"/>
    <w:rsid w:val="008D7432"/>
    <w:rsid w:val="008E042D"/>
    <w:rsid w:val="008F70C0"/>
    <w:rsid w:val="00992F01"/>
    <w:rsid w:val="0099515E"/>
    <w:rsid w:val="009A6105"/>
    <w:rsid w:val="00A55895"/>
    <w:rsid w:val="00AB5F6C"/>
    <w:rsid w:val="00B176D2"/>
    <w:rsid w:val="00B20F66"/>
    <w:rsid w:val="00B5113E"/>
    <w:rsid w:val="00B516C9"/>
    <w:rsid w:val="00B5686A"/>
    <w:rsid w:val="00B72EB1"/>
    <w:rsid w:val="00B824D1"/>
    <w:rsid w:val="00B948AA"/>
    <w:rsid w:val="00C24868"/>
    <w:rsid w:val="00C8727E"/>
    <w:rsid w:val="00C87BB1"/>
    <w:rsid w:val="00C927BA"/>
    <w:rsid w:val="00C951F2"/>
    <w:rsid w:val="00CB5E51"/>
    <w:rsid w:val="00CD594B"/>
    <w:rsid w:val="00D0464B"/>
    <w:rsid w:val="00D335B9"/>
    <w:rsid w:val="00D563E1"/>
    <w:rsid w:val="00D74402"/>
    <w:rsid w:val="00D950BF"/>
    <w:rsid w:val="00DB0F1A"/>
    <w:rsid w:val="00DB218C"/>
    <w:rsid w:val="00DB4831"/>
    <w:rsid w:val="00DF526B"/>
    <w:rsid w:val="00DF76AE"/>
    <w:rsid w:val="00E00E5D"/>
    <w:rsid w:val="00E13020"/>
    <w:rsid w:val="00E22566"/>
    <w:rsid w:val="00E22B6B"/>
    <w:rsid w:val="00E6024F"/>
    <w:rsid w:val="00E64B9A"/>
    <w:rsid w:val="00E841C5"/>
    <w:rsid w:val="00E85560"/>
    <w:rsid w:val="00E9476A"/>
    <w:rsid w:val="00E96953"/>
    <w:rsid w:val="00F169FA"/>
    <w:rsid w:val="00F279D5"/>
    <w:rsid w:val="00F27B17"/>
    <w:rsid w:val="00F81C7B"/>
    <w:rsid w:val="00F92953"/>
    <w:rsid w:val="00FC16AA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F1A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335B9"/>
    <w:pPr>
      <w:keepNext/>
      <w:jc w:val="center"/>
      <w:outlineLvl w:val="3"/>
    </w:pPr>
    <w:rPr>
      <w:rFonts w:ascii="Arial" w:eastAsia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335B9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seznamu1">
    <w:name w:val="Bez seznamu1"/>
    <w:semiHidden/>
    <w:rsid w:val="00D335B9"/>
  </w:style>
  <w:style w:type="character" w:customStyle="1" w:styleId="Nadpis4Char">
    <w:name w:val="Nadpis 4 Char"/>
    <w:link w:val="Nadpis4"/>
    <w:rsid w:val="00D335B9"/>
    <w:rPr>
      <w:rFonts w:ascii="Arial" w:eastAsia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rsid w:val="00D335B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semiHidden/>
    <w:rsid w:val="00D335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335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D335B9"/>
    <w:rPr>
      <w:rFonts w:cs="Times New Roman"/>
    </w:rPr>
  </w:style>
  <w:style w:type="paragraph" w:styleId="Zkladntextodsazen">
    <w:name w:val="Body Text Indent"/>
    <w:basedOn w:val="Normln"/>
    <w:link w:val="ZkladntextodsazenChar"/>
    <w:semiHidden/>
    <w:rsid w:val="00D335B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335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D335B9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customStyle="1" w:styleId="Rozloendokumentu1">
    <w:name w:val="Rozložení dokumentu1"/>
    <w:basedOn w:val="Normln"/>
    <w:link w:val="RozloendokumentuChar"/>
    <w:semiHidden/>
    <w:rsid w:val="00D335B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1"/>
    <w:semiHidden/>
    <w:rsid w:val="00D335B9"/>
    <w:rPr>
      <w:rFonts w:ascii="Times New Roman" w:eastAsia="Times New Roman" w:hAnsi="Times New Roman" w:cs="Times New Roman"/>
      <w:sz w:val="2"/>
    </w:rPr>
  </w:style>
  <w:style w:type="character" w:styleId="Odkaznakoment">
    <w:name w:val="annotation reference"/>
    <w:semiHidden/>
    <w:rsid w:val="00D335B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35B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335B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335B9"/>
    <w:rPr>
      <w:b/>
      <w:bCs/>
    </w:rPr>
  </w:style>
  <w:style w:type="character" w:customStyle="1" w:styleId="PedmtkomenteChar">
    <w:name w:val="Předmět komentáře Char"/>
    <w:link w:val="Pedmtkomente"/>
    <w:semiHidden/>
    <w:rsid w:val="00D335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B0F1A"/>
    <w:rPr>
      <w:sz w:val="16"/>
      <w:szCs w:val="20"/>
    </w:rPr>
  </w:style>
  <w:style w:type="character" w:customStyle="1" w:styleId="TextbublinyChar">
    <w:name w:val="Text bubliny Char"/>
    <w:link w:val="Textbubliny"/>
    <w:semiHidden/>
    <w:rsid w:val="00DB0F1A"/>
    <w:rPr>
      <w:rFonts w:ascii="Times New Roman" w:eastAsia="Times New Roman" w:hAnsi="Times New Roman"/>
      <w:sz w:val="16"/>
    </w:rPr>
  </w:style>
  <w:style w:type="paragraph" w:customStyle="1" w:styleId="Revize1">
    <w:name w:val="Revize1"/>
    <w:semiHidden/>
    <w:rsid w:val="00D335B9"/>
    <w:rPr>
      <w:rFonts w:ascii="Times New Roman" w:eastAsia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D335B9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D335B9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D335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35B9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D335B9"/>
    <w:pPr>
      <w:ind w:left="720"/>
      <w:contextualSpacing/>
    </w:pPr>
  </w:style>
  <w:style w:type="paragraph" w:customStyle="1" w:styleId="Odstavecseseznamem10">
    <w:name w:val="Odstavec se seznamem1"/>
    <w:basedOn w:val="Normln"/>
    <w:rsid w:val="00D33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D335B9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semiHidden/>
    <w:rsid w:val="00D335B9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D335B9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D335B9"/>
    <w:pPr>
      <w:shd w:val="clear" w:color="auto" w:fill="FFFFFF"/>
      <w:spacing w:line="274" w:lineRule="exact"/>
    </w:pPr>
    <w:rPr>
      <w:rFonts w:ascii="Calibri" w:eastAsia="Calibri" w:hAnsi="Calibri"/>
    </w:rPr>
  </w:style>
  <w:style w:type="paragraph" w:styleId="Zkladntext">
    <w:name w:val="Body Text"/>
    <w:basedOn w:val="Normln"/>
    <w:link w:val="ZkladntextChar"/>
    <w:semiHidden/>
    <w:rsid w:val="00D335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D335B9"/>
    <w:rPr>
      <w:rFonts w:ascii="Arial" w:eastAsia="MS Mincho" w:hAnsi="Arial"/>
      <w:szCs w:val="24"/>
      <w:lang w:val="cs-CZ" w:eastAsia="ja-JP" w:bidi="ar-SA"/>
    </w:rPr>
  </w:style>
  <w:style w:type="paragraph" w:styleId="Bezmezer">
    <w:name w:val="No Spacing"/>
    <w:qFormat/>
    <w:rsid w:val="00D335B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F1A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335B9"/>
    <w:pPr>
      <w:keepNext/>
      <w:jc w:val="center"/>
      <w:outlineLvl w:val="3"/>
    </w:pPr>
    <w:rPr>
      <w:rFonts w:ascii="Arial" w:eastAsia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335B9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seznamu1">
    <w:name w:val="Bez seznamu1"/>
    <w:semiHidden/>
    <w:rsid w:val="00D335B9"/>
  </w:style>
  <w:style w:type="character" w:customStyle="1" w:styleId="Nadpis4Char">
    <w:name w:val="Nadpis 4 Char"/>
    <w:link w:val="Nadpis4"/>
    <w:rsid w:val="00D335B9"/>
    <w:rPr>
      <w:rFonts w:ascii="Arial" w:eastAsia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rsid w:val="00D335B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semiHidden/>
    <w:rsid w:val="00D335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335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D335B9"/>
    <w:rPr>
      <w:rFonts w:cs="Times New Roman"/>
    </w:rPr>
  </w:style>
  <w:style w:type="paragraph" w:styleId="Zkladntextodsazen">
    <w:name w:val="Body Text Indent"/>
    <w:basedOn w:val="Normln"/>
    <w:link w:val="ZkladntextodsazenChar"/>
    <w:semiHidden/>
    <w:rsid w:val="00D335B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335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D335B9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customStyle="1" w:styleId="Rozloendokumentu1">
    <w:name w:val="Rozložení dokumentu1"/>
    <w:basedOn w:val="Normln"/>
    <w:link w:val="RozloendokumentuChar"/>
    <w:semiHidden/>
    <w:rsid w:val="00D335B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1"/>
    <w:semiHidden/>
    <w:rsid w:val="00D335B9"/>
    <w:rPr>
      <w:rFonts w:ascii="Times New Roman" w:eastAsia="Times New Roman" w:hAnsi="Times New Roman" w:cs="Times New Roman"/>
      <w:sz w:val="2"/>
    </w:rPr>
  </w:style>
  <w:style w:type="character" w:styleId="Odkaznakoment">
    <w:name w:val="annotation reference"/>
    <w:semiHidden/>
    <w:rsid w:val="00D335B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35B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335B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335B9"/>
    <w:rPr>
      <w:b/>
      <w:bCs/>
    </w:rPr>
  </w:style>
  <w:style w:type="character" w:customStyle="1" w:styleId="PedmtkomenteChar">
    <w:name w:val="Předmět komentáře Char"/>
    <w:link w:val="Pedmtkomente"/>
    <w:semiHidden/>
    <w:rsid w:val="00D335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B0F1A"/>
    <w:rPr>
      <w:sz w:val="16"/>
      <w:szCs w:val="20"/>
    </w:rPr>
  </w:style>
  <w:style w:type="character" w:customStyle="1" w:styleId="TextbublinyChar">
    <w:name w:val="Text bubliny Char"/>
    <w:link w:val="Textbubliny"/>
    <w:semiHidden/>
    <w:rsid w:val="00DB0F1A"/>
    <w:rPr>
      <w:rFonts w:ascii="Times New Roman" w:eastAsia="Times New Roman" w:hAnsi="Times New Roman"/>
      <w:sz w:val="16"/>
    </w:rPr>
  </w:style>
  <w:style w:type="paragraph" w:customStyle="1" w:styleId="Revize1">
    <w:name w:val="Revize1"/>
    <w:semiHidden/>
    <w:rsid w:val="00D335B9"/>
    <w:rPr>
      <w:rFonts w:ascii="Times New Roman" w:eastAsia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D335B9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D335B9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D335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35B9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D335B9"/>
    <w:pPr>
      <w:ind w:left="720"/>
      <w:contextualSpacing/>
    </w:pPr>
  </w:style>
  <w:style w:type="paragraph" w:customStyle="1" w:styleId="Odstavecseseznamem10">
    <w:name w:val="Odstavec se seznamem1"/>
    <w:basedOn w:val="Normln"/>
    <w:rsid w:val="00D33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D335B9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semiHidden/>
    <w:rsid w:val="00D335B9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D335B9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D335B9"/>
    <w:pPr>
      <w:shd w:val="clear" w:color="auto" w:fill="FFFFFF"/>
      <w:spacing w:line="274" w:lineRule="exact"/>
    </w:pPr>
    <w:rPr>
      <w:rFonts w:ascii="Calibri" w:eastAsia="Calibri" w:hAnsi="Calibri"/>
    </w:rPr>
  </w:style>
  <w:style w:type="paragraph" w:styleId="Zkladntext">
    <w:name w:val="Body Text"/>
    <w:basedOn w:val="Normln"/>
    <w:link w:val="ZkladntextChar"/>
    <w:semiHidden/>
    <w:rsid w:val="00D335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D335B9"/>
    <w:rPr>
      <w:rFonts w:ascii="Arial" w:eastAsia="MS Mincho" w:hAnsi="Arial"/>
      <w:szCs w:val="24"/>
      <w:lang w:val="cs-CZ" w:eastAsia="ja-JP" w:bidi="ar-SA"/>
    </w:rPr>
  </w:style>
  <w:style w:type="paragraph" w:styleId="Bezmezer">
    <w:name w:val="No Spacing"/>
    <w:qFormat/>
    <w:rsid w:val="00D335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92AC-0D23-4F9E-833F-40C57301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2407</Words>
  <Characters>13612</Characters>
  <Application>Microsoft Office Word</Application>
  <DocSecurity>0</DocSecurity>
  <Lines>113</Lines>
  <Paragraphs>31</Paragraphs>
  <Slides>-2147483648</Slides>
  <Notes>-2147483648</Notes>
  <HiddenSlides>-2147483648</HiddenSlide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ZO</Company>
  <LinksUpToDate>false</LinksUpToDate>
  <CharactersWithSpaces>15988</CharactersWithSpaces>
  <SharedDoc>false</SharedDoc>
  <HLinks>
    <vt:vector size="6" baseType="variant">
      <vt:variant>
        <vt:i4>1835058</vt:i4>
      </vt:variant>
      <vt:variant>
        <vt:i4>0</vt:i4>
      </vt:variant>
      <vt:variant>
        <vt:i4>0</vt:i4>
      </vt:variant>
      <vt:variant>
        <vt:i4>5</vt:i4>
      </vt:variant>
      <vt:variant>
        <vt:lpwstr>mailto:mkunzendorfer@suspj.cz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Vecková Jana</dc:creator>
  <cp:lastModifiedBy>Vavruška Zdeněk</cp:lastModifiedBy>
  <cp:revision>8</cp:revision>
  <cp:lastPrinted>2014-04-28T06:49:00Z</cp:lastPrinted>
  <dcterms:created xsi:type="dcterms:W3CDTF">2014-06-09T15:34:00Z</dcterms:created>
  <dcterms:modified xsi:type="dcterms:W3CDTF">2014-06-17T09:28:00Z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2497637</vt:lpwstr>
  </property>
</Properties>
</file>